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6B8" w:rsidRPr="00E27313" w:rsidRDefault="001D2719" w:rsidP="0062699F">
      <w:pPr>
        <w:pStyle w:val="Coverpagetitle"/>
        <w:spacing w:before="0" w:after="100" w:afterAutospacing="1"/>
        <w:rPr>
          <w:sz w:val="48"/>
          <w:szCs w:val="48"/>
        </w:rPr>
      </w:pPr>
      <w:bookmarkStart w:id="0" w:name="_GoBack"/>
      <w:bookmarkEnd w:id="0"/>
      <w:r>
        <w:rPr>
          <w:sz w:val="48"/>
          <w:szCs w:val="48"/>
        </w:rPr>
        <w:softHyphen/>
      </w:r>
      <w:r>
        <w:rPr>
          <w:sz w:val="48"/>
          <w:szCs w:val="48"/>
        </w:rPr>
        <w:softHyphen/>
      </w:r>
      <w:r w:rsidR="001559BF">
        <w:rPr>
          <w:sz w:val="48"/>
          <w:szCs w:val="48"/>
        </w:rPr>
        <w:t>HSBC Bank p</w:t>
      </w:r>
      <w:r w:rsidR="00E27313" w:rsidRPr="00E27313">
        <w:rPr>
          <w:sz w:val="48"/>
          <w:szCs w:val="48"/>
        </w:rPr>
        <w:t>lc - Johannesburg Branch</w:t>
      </w:r>
    </w:p>
    <w:p w:rsidR="00E27313" w:rsidRPr="00E27313" w:rsidRDefault="00E27313" w:rsidP="0062699F">
      <w:pPr>
        <w:pStyle w:val="Coverpagetitle"/>
        <w:spacing w:before="0" w:after="100" w:afterAutospacing="1"/>
        <w:rPr>
          <w:sz w:val="48"/>
          <w:szCs w:val="48"/>
        </w:rPr>
      </w:pPr>
      <w:r w:rsidRPr="00E27313">
        <w:rPr>
          <w:sz w:val="48"/>
          <w:szCs w:val="48"/>
        </w:rPr>
        <w:t xml:space="preserve">Pillar 3 </w:t>
      </w:r>
      <w:r w:rsidR="00C93263">
        <w:rPr>
          <w:sz w:val="48"/>
          <w:szCs w:val="48"/>
        </w:rPr>
        <w:t>Half-year</w:t>
      </w:r>
      <w:r w:rsidRPr="00E27313">
        <w:rPr>
          <w:sz w:val="48"/>
          <w:szCs w:val="48"/>
        </w:rPr>
        <w:t xml:space="preserve"> disclosure</w:t>
      </w:r>
    </w:p>
    <w:p w:rsidR="00C66A0B" w:rsidRPr="00E27313" w:rsidRDefault="00C93263" w:rsidP="0062699F">
      <w:pPr>
        <w:pStyle w:val="Coverpagetitle"/>
        <w:spacing w:before="0" w:after="100" w:afterAutospacing="1"/>
        <w:rPr>
          <w:sz w:val="48"/>
          <w:szCs w:val="48"/>
        </w:rPr>
      </w:pPr>
      <w:r>
        <w:rPr>
          <w:sz w:val="48"/>
          <w:szCs w:val="48"/>
        </w:rPr>
        <w:t>June 2019</w:t>
      </w:r>
    </w:p>
    <w:p w:rsidR="00C66A0B" w:rsidRDefault="00C66A0B" w:rsidP="0062699F">
      <w:pPr>
        <w:pStyle w:val="Coverpagetitle"/>
        <w:spacing w:before="0" w:after="100" w:afterAutospacing="1"/>
        <w:rPr>
          <w:sz w:val="72"/>
          <w:szCs w:val="72"/>
        </w:rPr>
      </w:pPr>
    </w:p>
    <w:p w:rsidR="00C66A0B" w:rsidRDefault="00C66A0B" w:rsidP="0062699F">
      <w:pPr>
        <w:pStyle w:val="Coverpagetitle"/>
        <w:spacing w:before="0" w:after="100" w:afterAutospacing="1"/>
        <w:rPr>
          <w:sz w:val="72"/>
          <w:szCs w:val="72"/>
        </w:rPr>
      </w:pPr>
    </w:p>
    <w:p w:rsidR="00C66A0B" w:rsidRDefault="00C66A0B" w:rsidP="0062699F">
      <w:pPr>
        <w:pStyle w:val="Coverpagetitle"/>
        <w:spacing w:before="0" w:after="100" w:afterAutospacing="1"/>
        <w:rPr>
          <w:sz w:val="72"/>
          <w:szCs w:val="72"/>
        </w:rPr>
      </w:pPr>
    </w:p>
    <w:p w:rsidR="00C66A0B" w:rsidRDefault="00C66A0B" w:rsidP="0062699F">
      <w:pPr>
        <w:pStyle w:val="Coverpagetitle"/>
        <w:spacing w:before="0" w:after="100" w:afterAutospacing="1"/>
        <w:rPr>
          <w:sz w:val="72"/>
          <w:szCs w:val="72"/>
        </w:rPr>
      </w:pPr>
    </w:p>
    <w:p w:rsidR="00C66A0B" w:rsidRDefault="00C66A0B" w:rsidP="0062699F">
      <w:pPr>
        <w:pStyle w:val="Coverpagetitle"/>
        <w:spacing w:before="0" w:after="100" w:afterAutospacing="1"/>
        <w:rPr>
          <w:sz w:val="72"/>
          <w:szCs w:val="72"/>
        </w:rPr>
      </w:pPr>
    </w:p>
    <w:p w:rsidR="00C66A0B" w:rsidRDefault="00C66A0B" w:rsidP="0062699F">
      <w:pPr>
        <w:pStyle w:val="Coverpagetitle"/>
        <w:spacing w:before="0" w:after="100" w:afterAutospacing="1"/>
        <w:rPr>
          <w:sz w:val="72"/>
          <w:szCs w:val="72"/>
        </w:rPr>
      </w:pPr>
    </w:p>
    <w:p w:rsidR="004328DA" w:rsidRDefault="004328DA" w:rsidP="0062699F">
      <w:pPr>
        <w:pStyle w:val="Coverpagetitle"/>
        <w:spacing w:before="0" w:after="100" w:afterAutospacing="1"/>
      </w:pPr>
    </w:p>
    <w:p w:rsidR="008629F5" w:rsidRDefault="008629F5" w:rsidP="0062699F">
      <w:pPr>
        <w:pStyle w:val="Coverpagetitle"/>
        <w:spacing w:before="0" w:after="100" w:afterAutospacing="1"/>
        <w:sectPr w:rsidR="008629F5" w:rsidSect="009C47DC">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267" w:right="950" w:bottom="1901" w:left="950" w:header="720" w:footer="720" w:gutter="0"/>
          <w:pgBorders w:offsetFrom="page">
            <w:top w:val="none" w:sz="10" w:space="12" w:color="1200DD" w:shadow="1"/>
            <w:left w:val="none" w:sz="0" w:space="12" w:color="0000DC" w:shadow="1"/>
            <w:bottom w:val="none" w:sz="255" w:space="13" w:color="FFFFFF" w:themeColor="dark2" w:themeTint="00" w:themeShade="39" w:shadow="1"/>
            <w:right w:val="none" w:sz="18" w:space="27" w:color="120084" w:shadow="1"/>
          </w:pgBorders>
          <w:pgNumType w:start="0"/>
          <w:cols w:space="720"/>
          <w:titlePg/>
          <w:docGrid w:linePitch="360"/>
        </w:sectPr>
      </w:pPr>
    </w:p>
    <w:tbl>
      <w:tblPr>
        <w:tblStyle w:val="TableGrid"/>
        <w:tblpPr w:leftFromText="180" w:rightFromText="180" w:vertAnchor="text" w:horzAnchor="margin" w:tblpY="225"/>
        <w:tblW w:w="5000" w:type="pct"/>
        <w:tblBorders>
          <w:top w:val="single" w:sz="8" w:space="0" w:color="767676"/>
          <w:left w:val="none" w:sz="0" w:space="0" w:color="auto"/>
          <w:bottom w:val="single" w:sz="8" w:space="0" w:color="767676"/>
          <w:right w:val="none" w:sz="0" w:space="0" w:color="auto"/>
          <w:insideH w:val="single" w:sz="8" w:space="0" w:color="767676"/>
          <w:insideV w:val="single" w:sz="8" w:space="0" w:color="767676"/>
        </w:tblBorders>
        <w:tblCellMar>
          <w:top w:w="144" w:type="dxa"/>
          <w:left w:w="144" w:type="dxa"/>
          <w:bottom w:w="144" w:type="dxa"/>
          <w:right w:w="144" w:type="dxa"/>
        </w:tblCellMar>
        <w:tblLook w:val="04A0" w:firstRow="1" w:lastRow="0" w:firstColumn="1" w:lastColumn="0" w:noHBand="0" w:noVBand="1"/>
      </w:tblPr>
      <w:tblGrid>
        <w:gridCol w:w="9979"/>
      </w:tblGrid>
      <w:tr w:rsidR="004D3983" w:rsidTr="004D3983">
        <w:tc>
          <w:tcPr>
            <w:tcW w:w="5000" w:type="pct"/>
            <w:tcBorders>
              <w:top w:val="single" w:sz="8" w:space="0" w:color="767676" w:themeColor="accent3"/>
              <w:bottom w:val="single" w:sz="8" w:space="0" w:color="767676" w:themeColor="accent3"/>
            </w:tcBorders>
            <w:tcMar>
              <w:top w:w="0" w:type="dxa"/>
              <w:left w:w="144" w:type="dxa"/>
              <w:right w:w="144" w:type="dxa"/>
            </w:tcMar>
          </w:tcPr>
          <w:sdt>
            <w:sdtPr>
              <w:rPr>
                <w:rFonts w:ascii="Arial" w:eastAsia="MS Mincho" w:hAnsi="Arial" w:cs="Times New Roman"/>
                <w:color w:val="000000"/>
                <w:sz w:val="24"/>
                <w:szCs w:val="24"/>
                <w:lang w:eastAsia="ja-JP"/>
              </w:rPr>
              <w:id w:val="-2107797068"/>
              <w:docPartObj>
                <w:docPartGallery w:val="Table of Contents"/>
                <w:docPartUnique/>
              </w:docPartObj>
            </w:sdtPr>
            <w:sdtEndPr>
              <w:rPr>
                <w:b/>
                <w:bCs/>
                <w:noProof/>
              </w:rPr>
            </w:sdtEndPr>
            <w:sdtContent>
              <w:p w:rsidR="008629F5" w:rsidRPr="00427C44" w:rsidRDefault="008629F5" w:rsidP="0062699F">
                <w:pPr>
                  <w:pStyle w:val="TOCHeading"/>
                  <w:rPr>
                    <w:color w:val="FF0000"/>
                    <w:sz w:val="44"/>
                    <w:szCs w:val="44"/>
                  </w:rPr>
                </w:pPr>
                <w:r w:rsidRPr="00427C44">
                  <w:rPr>
                    <w:color w:val="FF0000"/>
                    <w:sz w:val="44"/>
                    <w:szCs w:val="44"/>
                  </w:rPr>
                  <w:t>Contents</w:t>
                </w:r>
              </w:p>
              <w:p w:rsidR="007D533F" w:rsidRDefault="008629F5" w:rsidP="007D533F">
                <w:pPr>
                  <w:pStyle w:val="TOC1"/>
                  <w:rPr>
                    <w:rFonts w:asciiTheme="minorHAnsi" w:eastAsiaTheme="minorEastAsia" w:hAnsiTheme="minorHAnsi" w:cstheme="minorBidi"/>
                    <w:color w:val="auto"/>
                    <w:sz w:val="22"/>
                    <w:szCs w:val="22"/>
                    <w:lang w:val="en-ZA" w:eastAsia="en-ZA"/>
                  </w:rPr>
                </w:pPr>
                <w:r>
                  <w:rPr>
                    <w:b/>
                    <w:bCs/>
                  </w:rPr>
                  <w:fldChar w:fldCharType="begin"/>
                </w:r>
                <w:r>
                  <w:rPr>
                    <w:b/>
                    <w:bCs/>
                  </w:rPr>
                  <w:instrText xml:space="preserve"> TOC \o "1-3" \h \z \u </w:instrText>
                </w:r>
                <w:r>
                  <w:rPr>
                    <w:b/>
                    <w:bCs/>
                  </w:rPr>
                  <w:fldChar w:fldCharType="separate"/>
                </w:r>
                <w:hyperlink w:anchor="_Toc22895955" w:history="1">
                  <w:r w:rsidR="007D533F" w:rsidRPr="00113BBB">
                    <w:rPr>
                      <w:rStyle w:val="Hyperlink"/>
                      <w:lang w:val="en-ZA" w:eastAsia="en-ZA"/>
                    </w:rPr>
                    <w:t>Regulatory framework for disclosure</w:t>
                  </w:r>
                  <w:r w:rsidR="007D533F">
                    <w:rPr>
                      <w:webHidden/>
                    </w:rPr>
                    <w:tab/>
                  </w:r>
                  <w:r w:rsidR="007D533F">
                    <w:rPr>
                      <w:webHidden/>
                    </w:rPr>
                    <w:fldChar w:fldCharType="begin"/>
                  </w:r>
                  <w:r w:rsidR="007D533F">
                    <w:rPr>
                      <w:webHidden/>
                    </w:rPr>
                    <w:instrText xml:space="preserve"> PAGEREF _Toc22895955 \h </w:instrText>
                  </w:r>
                  <w:r w:rsidR="007D533F">
                    <w:rPr>
                      <w:webHidden/>
                    </w:rPr>
                  </w:r>
                  <w:r w:rsidR="007D533F">
                    <w:rPr>
                      <w:webHidden/>
                    </w:rPr>
                    <w:fldChar w:fldCharType="separate"/>
                  </w:r>
                  <w:r w:rsidR="0056487D">
                    <w:rPr>
                      <w:webHidden/>
                    </w:rPr>
                    <w:t>3</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56" w:history="1">
                  <w:r w:rsidR="007D533F" w:rsidRPr="00113BBB">
                    <w:rPr>
                      <w:rStyle w:val="Hyperlink"/>
                      <w:lang w:val="en-ZA" w:eastAsia="en-ZA"/>
                    </w:rPr>
                    <w:t>Pillar 3 disclosures</w:t>
                  </w:r>
                  <w:r w:rsidR="007D533F">
                    <w:rPr>
                      <w:webHidden/>
                    </w:rPr>
                    <w:tab/>
                  </w:r>
                  <w:r w:rsidR="007D533F">
                    <w:rPr>
                      <w:webHidden/>
                    </w:rPr>
                    <w:fldChar w:fldCharType="begin"/>
                  </w:r>
                  <w:r w:rsidR="007D533F">
                    <w:rPr>
                      <w:webHidden/>
                    </w:rPr>
                    <w:instrText xml:space="preserve"> PAGEREF _Toc22895956 \h </w:instrText>
                  </w:r>
                  <w:r w:rsidR="007D533F">
                    <w:rPr>
                      <w:webHidden/>
                    </w:rPr>
                  </w:r>
                  <w:r w:rsidR="007D533F">
                    <w:rPr>
                      <w:webHidden/>
                    </w:rPr>
                    <w:fldChar w:fldCharType="separate"/>
                  </w:r>
                  <w:r w:rsidR="0056487D">
                    <w:rPr>
                      <w:webHidden/>
                    </w:rPr>
                    <w:t>3</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57" w:history="1">
                  <w:r w:rsidR="007D533F" w:rsidRPr="00113BBB">
                    <w:rPr>
                      <w:rStyle w:val="Hyperlink"/>
                      <w:lang w:val="en-ZA" w:eastAsia="en-ZA"/>
                    </w:rPr>
                    <w:t>Report oversight</w:t>
                  </w:r>
                  <w:r w:rsidR="007D533F">
                    <w:rPr>
                      <w:webHidden/>
                    </w:rPr>
                    <w:tab/>
                  </w:r>
                  <w:r w:rsidR="007D533F">
                    <w:rPr>
                      <w:webHidden/>
                    </w:rPr>
                    <w:fldChar w:fldCharType="begin"/>
                  </w:r>
                  <w:r w:rsidR="007D533F">
                    <w:rPr>
                      <w:webHidden/>
                    </w:rPr>
                    <w:instrText xml:space="preserve"> PAGEREF _Toc22895957 \h </w:instrText>
                  </w:r>
                  <w:r w:rsidR="007D533F">
                    <w:rPr>
                      <w:webHidden/>
                    </w:rPr>
                  </w:r>
                  <w:r w:rsidR="007D533F">
                    <w:rPr>
                      <w:webHidden/>
                    </w:rPr>
                    <w:fldChar w:fldCharType="separate"/>
                  </w:r>
                  <w:r w:rsidR="0056487D">
                    <w:rPr>
                      <w:webHidden/>
                    </w:rPr>
                    <w:t>3</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58" w:history="1">
                  <w:r w:rsidR="007D533F" w:rsidRPr="00113BBB">
                    <w:rPr>
                      <w:rStyle w:val="Hyperlink"/>
                      <w:lang w:val="en-ZA" w:eastAsia="en-ZA"/>
                    </w:rPr>
                    <w:t>Key Prudential matrics and overview of RWA</w:t>
                  </w:r>
                  <w:r w:rsidR="007D533F">
                    <w:rPr>
                      <w:webHidden/>
                    </w:rPr>
                    <w:tab/>
                  </w:r>
                  <w:r w:rsidR="007D533F">
                    <w:rPr>
                      <w:webHidden/>
                    </w:rPr>
                    <w:fldChar w:fldCharType="begin"/>
                  </w:r>
                  <w:r w:rsidR="007D533F">
                    <w:rPr>
                      <w:webHidden/>
                    </w:rPr>
                    <w:instrText xml:space="preserve"> PAGEREF _Toc22895958 \h </w:instrText>
                  </w:r>
                  <w:r w:rsidR="007D533F">
                    <w:rPr>
                      <w:webHidden/>
                    </w:rPr>
                  </w:r>
                  <w:r w:rsidR="007D533F">
                    <w:rPr>
                      <w:webHidden/>
                    </w:rPr>
                    <w:fldChar w:fldCharType="separate"/>
                  </w:r>
                  <w:r w:rsidR="0056487D">
                    <w:rPr>
                      <w:webHidden/>
                    </w:rPr>
                    <w:t>4</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59" w:history="1">
                  <w:r w:rsidR="007D533F" w:rsidRPr="00113BBB">
                    <w:rPr>
                      <w:rStyle w:val="Hyperlink"/>
                    </w:rPr>
                    <w:t>Table 1: Key metrics (KM1)</w:t>
                  </w:r>
                  <w:r w:rsidR="007D533F">
                    <w:rPr>
                      <w:webHidden/>
                    </w:rPr>
                    <w:tab/>
                  </w:r>
                  <w:r w:rsidR="007D533F">
                    <w:rPr>
                      <w:webHidden/>
                    </w:rPr>
                    <w:fldChar w:fldCharType="begin"/>
                  </w:r>
                  <w:r w:rsidR="007D533F">
                    <w:rPr>
                      <w:webHidden/>
                    </w:rPr>
                    <w:instrText xml:space="preserve"> PAGEREF _Toc22895959 \h </w:instrText>
                  </w:r>
                  <w:r w:rsidR="007D533F">
                    <w:rPr>
                      <w:webHidden/>
                    </w:rPr>
                  </w:r>
                  <w:r w:rsidR="007D533F">
                    <w:rPr>
                      <w:webHidden/>
                    </w:rPr>
                    <w:fldChar w:fldCharType="separate"/>
                  </w:r>
                  <w:r w:rsidR="0056487D">
                    <w:rPr>
                      <w:webHidden/>
                    </w:rPr>
                    <w:t>4</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60" w:history="1">
                  <w:r w:rsidR="007D533F" w:rsidRPr="00113BBB">
                    <w:rPr>
                      <w:rStyle w:val="Hyperlink"/>
                      <w:lang w:val="en-ZA" w:eastAsia="en-ZA"/>
                    </w:rPr>
                    <w:t>Risk management</w:t>
                  </w:r>
                  <w:r w:rsidR="007D533F">
                    <w:rPr>
                      <w:webHidden/>
                    </w:rPr>
                    <w:tab/>
                  </w:r>
                  <w:r w:rsidR="007D533F">
                    <w:rPr>
                      <w:webHidden/>
                    </w:rPr>
                    <w:fldChar w:fldCharType="begin"/>
                  </w:r>
                  <w:r w:rsidR="007D533F">
                    <w:rPr>
                      <w:webHidden/>
                    </w:rPr>
                    <w:instrText xml:space="preserve"> PAGEREF _Toc22895960 \h </w:instrText>
                  </w:r>
                  <w:r w:rsidR="007D533F">
                    <w:rPr>
                      <w:webHidden/>
                    </w:rPr>
                  </w:r>
                  <w:r w:rsidR="007D533F">
                    <w:rPr>
                      <w:webHidden/>
                    </w:rPr>
                    <w:fldChar w:fldCharType="separate"/>
                  </w:r>
                  <w:r w:rsidR="0056487D">
                    <w:rPr>
                      <w:webHidden/>
                    </w:rPr>
                    <w:t>5</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61" w:history="1">
                  <w:r w:rsidR="007D533F" w:rsidRPr="00113BBB">
                    <w:rPr>
                      <w:rStyle w:val="Hyperlink"/>
                    </w:rPr>
                    <w:t>Table 2: Overview of risk management (OV1)</w:t>
                  </w:r>
                  <w:r w:rsidR="007D533F">
                    <w:rPr>
                      <w:webHidden/>
                    </w:rPr>
                    <w:tab/>
                  </w:r>
                  <w:r w:rsidR="007D533F">
                    <w:rPr>
                      <w:webHidden/>
                    </w:rPr>
                    <w:fldChar w:fldCharType="begin"/>
                  </w:r>
                  <w:r w:rsidR="007D533F">
                    <w:rPr>
                      <w:webHidden/>
                    </w:rPr>
                    <w:instrText xml:space="preserve"> PAGEREF _Toc22895961 \h </w:instrText>
                  </w:r>
                  <w:r w:rsidR="007D533F">
                    <w:rPr>
                      <w:webHidden/>
                    </w:rPr>
                  </w:r>
                  <w:r w:rsidR="007D533F">
                    <w:rPr>
                      <w:webHidden/>
                    </w:rPr>
                    <w:fldChar w:fldCharType="separate"/>
                  </w:r>
                  <w:r w:rsidR="0056487D">
                    <w:rPr>
                      <w:webHidden/>
                    </w:rPr>
                    <w:t>5</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62" w:history="1">
                  <w:r w:rsidR="007D533F" w:rsidRPr="00113BBB">
                    <w:rPr>
                      <w:rStyle w:val="Hyperlink"/>
                      <w:lang w:val="en-ZA" w:eastAsia="en-ZA"/>
                    </w:rPr>
                    <w:t>Composition of capital</w:t>
                  </w:r>
                  <w:r w:rsidR="007D533F">
                    <w:rPr>
                      <w:webHidden/>
                    </w:rPr>
                    <w:tab/>
                  </w:r>
                  <w:r w:rsidR="007D533F">
                    <w:rPr>
                      <w:webHidden/>
                    </w:rPr>
                    <w:fldChar w:fldCharType="begin"/>
                  </w:r>
                  <w:r w:rsidR="007D533F">
                    <w:rPr>
                      <w:webHidden/>
                    </w:rPr>
                    <w:instrText xml:space="preserve"> PAGEREF _Toc22895962 \h </w:instrText>
                  </w:r>
                  <w:r w:rsidR="007D533F">
                    <w:rPr>
                      <w:webHidden/>
                    </w:rPr>
                  </w:r>
                  <w:r w:rsidR="007D533F">
                    <w:rPr>
                      <w:webHidden/>
                    </w:rPr>
                    <w:fldChar w:fldCharType="separate"/>
                  </w:r>
                  <w:r w:rsidR="0056487D">
                    <w:rPr>
                      <w:webHidden/>
                    </w:rPr>
                    <w:t>6</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63" w:history="1">
                  <w:r w:rsidR="007D533F" w:rsidRPr="00113BBB">
                    <w:rPr>
                      <w:rStyle w:val="Hyperlink"/>
                    </w:rPr>
                    <w:t>Table 3: Composition of regulatory capital (CC1)</w:t>
                  </w:r>
                  <w:r w:rsidR="007D533F">
                    <w:rPr>
                      <w:webHidden/>
                    </w:rPr>
                    <w:tab/>
                  </w:r>
                  <w:r w:rsidR="007D533F">
                    <w:rPr>
                      <w:webHidden/>
                    </w:rPr>
                    <w:fldChar w:fldCharType="begin"/>
                  </w:r>
                  <w:r w:rsidR="007D533F">
                    <w:rPr>
                      <w:webHidden/>
                    </w:rPr>
                    <w:instrText xml:space="preserve"> PAGEREF _Toc22895963 \h </w:instrText>
                  </w:r>
                  <w:r w:rsidR="007D533F">
                    <w:rPr>
                      <w:webHidden/>
                    </w:rPr>
                  </w:r>
                  <w:r w:rsidR="007D533F">
                    <w:rPr>
                      <w:webHidden/>
                    </w:rPr>
                    <w:fldChar w:fldCharType="separate"/>
                  </w:r>
                  <w:r w:rsidR="0056487D">
                    <w:rPr>
                      <w:webHidden/>
                    </w:rPr>
                    <w:t>6</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64" w:history="1">
                  <w:r w:rsidR="007D533F" w:rsidRPr="00113BBB">
                    <w:rPr>
                      <w:rStyle w:val="Hyperlink"/>
                      <w:lang w:val="en-ZA" w:eastAsia="en-ZA"/>
                    </w:rPr>
                    <w:t>Macroprudential supervisory measures</w:t>
                  </w:r>
                  <w:r w:rsidR="007D533F">
                    <w:rPr>
                      <w:webHidden/>
                    </w:rPr>
                    <w:tab/>
                  </w:r>
                  <w:r w:rsidR="007D533F">
                    <w:rPr>
                      <w:webHidden/>
                    </w:rPr>
                    <w:fldChar w:fldCharType="begin"/>
                  </w:r>
                  <w:r w:rsidR="007D533F">
                    <w:rPr>
                      <w:webHidden/>
                    </w:rPr>
                    <w:instrText xml:space="preserve"> PAGEREF _Toc22895964 \h </w:instrText>
                  </w:r>
                  <w:r w:rsidR="007D533F">
                    <w:rPr>
                      <w:webHidden/>
                    </w:rPr>
                  </w:r>
                  <w:r w:rsidR="007D533F">
                    <w:rPr>
                      <w:webHidden/>
                    </w:rPr>
                    <w:fldChar w:fldCharType="separate"/>
                  </w:r>
                  <w:r w:rsidR="0056487D">
                    <w:rPr>
                      <w:webHidden/>
                    </w:rPr>
                    <w:t>9</w:t>
                  </w:r>
                  <w:r w:rsidR="007D533F">
                    <w:rPr>
                      <w:webHidden/>
                    </w:rPr>
                    <w:fldChar w:fldCharType="end"/>
                  </w:r>
                </w:hyperlink>
              </w:p>
              <w:p w:rsidR="007D533F" w:rsidRDefault="00E8101C" w:rsidP="007D533F">
                <w:pPr>
                  <w:pStyle w:val="TOC2"/>
                  <w:tabs>
                    <w:tab w:val="left" w:pos="1540"/>
                  </w:tabs>
                  <w:rPr>
                    <w:rFonts w:asciiTheme="minorHAnsi" w:eastAsiaTheme="minorEastAsia" w:hAnsiTheme="minorHAnsi" w:cstheme="minorBidi"/>
                    <w:color w:val="auto"/>
                    <w:sz w:val="22"/>
                    <w:lang w:val="en-ZA" w:eastAsia="en-ZA"/>
                  </w:rPr>
                </w:pPr>
                <w:hyperlink w:anchor="_Toc22895965" w:history="1">
                  <w:r w:rsidR="007D533F" w:rsidRPr="00113BBB">
                    <w:rPr>
                      <w:rStyle w:val="Hyperlink"/>
                    </w:rPr>
                    <w:t>Table 4</w:t>
                  </w:r>
                  <w:r w:rsidR="007D533F">
                    <w:rPr>
                      <w:rFonts w:asciiTheme="minorHAnsi" w:eastAsiaTheme="minorEastAsia" w:hAnsiTheme="minorHAnsi" w:cstheme="minorBidi"/>
                      <w:color w:val="auto"/>
                      <w:sz w:val="22"/>
                      <w:lang w:val="en-ZA" w:eastAsia="en-ZA"/>
                    </w:rPr>
                    <w:tab/>
                  </w:r>
                  <w:r w:rsidR="007D533F" w:rsidRPr="00113BBB">
                    <w:rPr>
                      <w:rStyle w:val="Hyperlink"/>
                    </w:rPr>
                    <w:t>: Geographical distribution of credit exposures used in the countercyclical capital buffer (CCyB1)</w:t>
                  </w:r>
                  <w:r w:rsidR="007D533F">
                    <w:rPr>
                      <w:webHidden/>
                    </w:rPr>
                    <w:tab/>
                  </w:r>
                  <w:r w:rsidR="007D533F">
                    <w:rPr>
                      <w:webHidden/>
                    </w:rPr>
                    <w:fldChar w:fldCharType="begin"/>
                  </w:r>
                  <w:r w:rsidR="007D533F">
                    <w:rPr>
                      <w:webHidden/>
                    </w:rPr>
                    <w:instrText xml:space="preserve"> PAGEREF _Toc22895965 \h </w:instrText>
                  </w:r>
                  <w:r w:rsidR="007D533F">
                    <w:rPr>
                      <w:webHidden/>
                    </w:rPr>
                  </w:r>
                  <w:r w:rsidR="007D533F">
                    <w:rPr>
                      <w:webHidden/>
                    </w:rPr>
                    <w:fldChar w:fldCharType="separate"/>
                  </w:r>
                  <w:r w:rsidR="0056487D">
                    <w:rPr>
                      <w:webHidden/>
                    </w:rPr>
                    <w:t>9</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66" w:history="1">
                  <w:r w:rsidR="007D533F" w:rsidRPr="00113BBB">
                    <w:rPr>
                      <w:rStyle w:val="Hyperlink"/>
                      <w:lang w:val="en-ZA" w:eastAsia="en-ZA"/>
                    </w:rPr>
                    <w:t>Leverage ratio</w:t>
                  </w:r>
                  <w:r w:rsidR="007D533F">
                    <w:rPr>
                      <w:webHidden/>
                    </w:rPr>
                    <w:tab/>
                  </w:r>
                  <w:r w:rsidR="007D533F">
                    <w:rPr>
                      <w:webHidden/>
                    </w:rPr>
                    <w:fldChar w:fldCharType="begin"/>
                  </w:r>
                  <w:r w:rsidR="007D533F">
                    <w:rPr>
                      <w:webHidden/>
                    </w:rPr>
                    <w:instrText xml:space="preserve"> PAGEREF _Toc22895966 \h </w:instrText>
                  </w:r>
                  <w:r w:rsidR="007D533F">
                    <w:rPr>
                      <w:webHidden/>
                    </w:rPr>
                  </w:r>
                  <w:r w:rsidR="007D533F">
                    <w:rPr>
                      <w:webHidden/>
                    </w:rPr>
                    <w:fldChar w:fldCharType="separate"/>
                  </w:r>
                  <w:r w:rsidR="0056487D">
                    <w:rPr>
                      <w:webHidden/>
                    </w:rPr>
                    <w:t>9</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67" w:history="1">
                  <w:r w:rsidR="007D533F" w:rsidRPr="00113BBB">
                    <w:rPr>
                      <w:rStyle w:val="Hyperlink"/>
                    </w:rPr>
                    <w:t>Table 5: Summary comparison of accounting assets vs leverage ratio exposure (LR1)</w:t>
                  </w:r>
                  <w:r w:rsidR="007D533F">
                    <w:rPr>
                      <w:webHidden/>
                    </w:rPr>
                    <w:tab/>
                  </w:r>
                  <w:r w:rsidR="007D533F">
                    <w:rPr>
                      <w:webHidden/>
                    </w:rPr>
                    <w:fldChar w:fldCharType="begin"/>
                  </w:r>
                  <w:r w:rsidR="007D533F">
                    <w:rPr>
                      <w:webHidden/>
                    </w:rPr>
                    <w:instrText xml:space="preserve"> PAGEREF _Toc22895967 \h </w:instrText>
                  </w:r>
                  <w:r w:rsidR="007D533F">
                    <w:rPr>
                      <w:webHidden/>
                    </w:rPr>
                  </w:r>
                  <w:r w:rsidR="007D533F">
                    <w:rPr>
                      <w:webHidden/>
                    </w:rPr>
                    <w:fldChar w:fldCharType="separate"/>
                  </w:r>
                  <w:r w:rsidR="0056487D">
                    <w:rPr>
                      <w:webHidden/>
                    </w:rPr>
                    <w:t>9</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68" w:history="1">
                  <w:r w:rsidR="007D533F" w:rsidRPr="00113BBB">
                    <w:rPr>
                      <w:rStyle w:val="Hyperlink"/>
                    </w:rPr>
                    <w:t>Table 6: Leverage ratio (LR2)</w:t>
                  </w:r>
                  <w:r w:rsidR="007D533F">
                    <w:rPr>
                      <w:webHidden/>
                    </w:rPr>
                    <w:tab/>
                  </w:r>
                  <w:r w:rsidR="007D533F">
                    <w:rPr>
                      <w:webHidden/>
                    </w:rPr>
                    <w:fldChar w:fldCharType="begin"/>
                  </w:r>
                  <w:r w:rsidR="007D533F">
                    <w:rPr>
                      <w:webHidden/>
                    </w:rPr>
                    <w:instrText xml:space="preserve"> PAGEREF _Toc22895968 \h </w:instrText>
                  </w:r>
                  <w:r w:rsidR="007D533F">
                    <w:rPr>
                      <w:webHidden/>
                    </w:rPr>
                  </w:r>
                  <w:r w:rsidR="007D533F">
                    <w:rPr>
                      <w:webHidden/>
                    </w:rPr>
                    <w:fldChar w:fldCharType="separate"/>
                  </w:r>
                  <w:r w:rsidR="0056487D">
                    <w:rPr>
                      <w:webHidden/>
                    </w:rPr>
                    <w:t>10</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69" w:history="1">
                  <w:r w:rsidR="007D533F" w:rsidRPr="00113BBB">
                    <w:rPr>
                      <w:rStyle w:val="Hyperlink"/>
                      <w:lang w:val="en-ZA" w:eastAsia="en-ZA"/>
                    </w:rPr>
                    <w:t>Liquidity Risk</w:t>
                  </w:r>
                  <w:r w:rsidR="007D533F">
                    <w:rPr>
                      <w:webHidden/>
                    </w:rPr>
                    <w:tab/>
                  </w:r>
                  <w:r w:rsidR="007D533F">
                    <w:rPr>
                      <w:webHidden/>
                    </w:rPr>
                    <w:fldChar w:fldCharType="begin"/>
                  </w:r>
                  <w:r w:rsidR="007D533F">
                    <w:rPr>
                      <w:webHidden/>
                    </w:rPr>
                    <w:instrText xml:space="preserve"> PAGEREF _Toc22895969 \h </w:instrText>
                  </w:r>
                  <w:r w:rsidR="007D533F">
                    <w:rPr>
                      <w:webHidden/>
                    </w:rPr>
                  </w:r>
                  <w:r w:rsidR="007D533F">
                    <w:rPr>
                      <w:webHidden/>
                    </w:rPr>
                    <w:fldChar w:fldCharType="separate"/>
                  </w:r>
                  <w:r w:rsidR="0056487D">
                    <w:rPr>
                      <w:webHidden/>
                    </w:rPr>
                    <w:t>11</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0" w:history="1">
                  <w:r w:rsidR="007D533F" w:rsidRPr="00113BBB">
                    <w:rPr>
                      <w:rStyle w:val="Hyperlink"/>
                    </w:rPr>
                    <w:t>Table 7: Liquidity coverage ratio (LIQ1)</w:t>
                  </w:r>
                  <w:r w:rsidR="007D533F">
                    <w:rPr>
                      <w:webHidden/>
                    </w:rPr>
                    <w:tab/>
                  </w:r>
                  <w:r w:rsidR="007D533F">
                    <w:rPr>
                      <w:webHidden/>
                    </w:rPr>
                    <w:fldChar w:fldCharType="begin"/>
                  </w:r>
                  <w:r w:rsidR="007D533F">
                    <w:rPr>
                      <w:webHidden/>
                    </w:rPr>
                    <w:instrText xml:space="preserve"> PAGEREF _Toc22895970 \h </w:instrText>
                  </w:r>
                  <w:r w:rsidR="007D533F">
                    <w:rPr>
                      <w:webHidden/>
                    </w:rPr>
                  </w:r>
                  <w:r w:rsidR="007D533F">
                    <w:rPr>
                      <w:webHidden/>
                    </w:rPr>
                    <w:fldChar w:fldCharType="separate"/>
                  </w:r>
                  <w:r w:rsidR="0056487D">
                    <w:rPr>
                      <w:webHidden/>
                    </w:rPr>
                    <w:t>12</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1" w:history="1">
                  <w:r w:rsidR="007D533F" w:rsidRPr="00113BBB">
                    <w:rPr>
                      <w:rStyle w:val="Hyperlink"/>
                    </w:rPr>
                    <w:t>Table 8: Net stable ratio funding (NSFR)</w:t>
                  </w:r>
                  <w:r w:rsidR="007D533F">
                    <w:rPr>
                      <w:webHidden/>
                    </w:rPr>
                    <w:tab/>
                  </w:r>
                  <w:r w:rsidR="007D533F">
                    <w:rPr>
                      <w:webHidden/>
                    </w:rPr>
                    <w:fldChar w:fldCharType="begin"/>
                  </w:r>
                  <w:r w:rsidR="007D533F">
                    <w:rPr>
                      <w:webHidden/>
                    </w:rPr>
                    <w:instrText xml:space="preserve"> PAGEREF _Toc22895971 \h </w:instrText>
                  </w:r>
                  <w:r w:rsidR="007D533F">
                    <w:rPr>
                      <w:webHidden/>
                    </w:rPr>
                  </w:r>
                  <w:r w:rsidR="007D533F">
                    <w:rPr>
                      <w:webHidden/>
                    </w:rPr>
                    <w:fldChar w:fldCharType="separate"/>
                  </w:r>
                  <w:r w:rsidR="0056487D">
                    <w:rPr>
                      <w:webHidden/>
                    </w:rPr>
                    <w:t>13</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2" w:history="1">
                  <w:r w:rsidR="007D533F" w:rsidRPr="00113BBB">
                    <w:rPr>
                      <w:rStyle w:val="Hyperlink"/>
                      <w:lang w:val="en-ZA" w:eastAsia="en-ZA"/>
                    </w:rPr>
                    <w:t>Credit risk</w:t>
                  </w:r>
                  <w:r w:rsidR="007D533F">
                    <w:rPr>
                      <w:webHidden/>
                    </w:rPr>
                    <w:tab/>
                  </w:r>
                  <w:r w:rsidR="007D533F">
                    <w:rPr>
                      <w:webHidden/>
                    </w:rPr>
                    <w:fldChar w:fldCharType="begin"/>
                  </w:r>
                  <w:r w:rsidR="007D533F">
                    <w:rPr>
                      <w:webHidden/>
                    </w:rPr>
                    <w:instrText xml:space="preserve"> PAGEREF _Toc22895972 \h </w:instrText>
                  </w:r>
                  <w:r w:rsidR="007D533F">
                    <w:rPr>
                      <w:webHidden/>
                    </w:rPr>
                  </w:r>
                  <w:r w:rsidR="007D533F">
                    <w:rPr>
                      <w:webHidden/>
                    </w:rPr>
                    <w:fldChar w:fldCharType="separate"/>
                  </w:r>
                  <w:r w:rsidR="0056487D">
                    <w:rPr>
                      <w:webHidden/>
                    </w:rPr>
                    <w:t>14</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3" w:history="1">
                  <w:r w:rsidR="007D533F" w:rsidRPr="00113BBB">
                    <w:rPr>
                      <w:rStyle w:val="Hyperlink"/>
                    </w:rPr>
                    <w:t>Table 9: Credit quality of assets (CR1)</w:t>
                  </w:r>
                  <w:r w:rsidR="007D533F">
                    <w:rPr>
                      <w:webHidden/>
                    </w:rPr>
                    <w:tab/>
                  </w:r>
                  <w:r w:rsidR="007D533F">
                    <w:rPr>
                      <w:webHidden/>
                    </w:rPr>
                    <w:fldChar w:fldCharType="begin"/>
                  </w:r>
                  <w:r w:rsidR="007D533F">
                    <w:rPr>
                      <w:webHidden/>
                    </w:rPr>
                    <w:instrText xml:space="preserve"> PAGEREF _Toc22895973 \h </w:instrText>
                  </w:r>
                  <w:r w:rsidR="007D533F">
                    <w:rPr>
                      <w:webHidden/>
                    </w:rPr>
                  </w:r>
                  <w:r w:rsidR="007D533F">
                    <w:rPr>
                      <w:webHidden/>
                    </w:rPr>
                    <w:fldChar w:fldCharType="separate"/>
                  </w:r>
                  <w:r w:rsidR="0056487D">
                    <w:rPr>
                      <w:webHidden/>
                    </w:rPr>
                    <w:t>14</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4" w:history="1">
                  <w:r w:rsidR="007D533F" w:rsidRPr="00113BBB">
                    <w:rPr>
                      <w:rStyle w:val="Hyperlink"/>
                    </w:rPr>
                    <w:t>Table 10: Changes in stock of defaulted loans and debt securities (CR2)</w:t>
                  </w:r>
                  <w:r w:rsidR="007D533F">
                    <w:rPr>
                      <w:webHidden/>
                    </w:rPr>
                    <w:tab/>
                  </w:r>
                  <w:r w:rsidR="007D533F">
                    <w:rPr>
                      <w:webHidden/>
                    </w:rPr>
                    <w:fldChar w:fldCharType="begin"/>
                  </w:r>
                  <w:r w:rsidR="007D533F">
                    <w:rPr>
                      <w:webHidden/>
                    </w:rPr>
                    <w:instrText xml:space="preserve"> PAGEREF _Toc22895974 \h </w:instrText>
                  </w:r>
                  <w:r w:rsidR="007D533F">
                    <w:rPr>
                      <w:webHidden/>
                    </w:rPr>
                  </w:r>
                  <w:r w:rsidR="007D533F">
                    <w:rPr>
                      <w:webHidden/>
                    </w:rPr>
                    <w:fldChar w:fldCharType="separate"/>
                  </w:r>
                  <w:r w:rsidR="0056487D">
                    <w:rPr>
                      <w:webHidden/>
                    </w:rPr>
                    <w:t>14</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5" w:history="1">
                  <w:r w:rsidR="007D533F" w:rsidRPr="00113BBB">
                    <w:rPr>
                      <w:rStyle w:val="Hyperlink"/>
                    </w:rPr>
                    <w:t>Table 11: Credit risk mitigation techniques – overview (CR3)</w:t>
                  </w:r>
                  <w:r w:rsidR="007D533F">
                    <w:rPr>
                      <w:webHidden/>
                    </w:rPr>
                    <w:tab/>
                  </w:r>
                  <w:r w:rsidR="007D533F">
                    <w:rPr>
                      <w:webHidden/>
                    </w:rPr>
                    <w:fldChar w:fldCharType="begin"/>
                  </w:r>
                  <w:r w:rsidR="007D533F">
                    <w:rPr>
                      <w:webHidden/>
                    </w:rPr>
                    <w:instrText xml:space="preserve"> PAGEREF _Toc22895975 \h </w:instrText>
                  </w:r>
                  <w:r w:rsidR="007D533F">
                    <w:rPr>
                      <w:webHidden/>
                    </w:rPr>
                  </w:r>
                  <w:r w:rsidR="007D533F">
                    <w:rPr>
                      <w:webHidden/>
                    </w:rPr>
                    <w:fldChar w:fldCharType="separate"/>
                  </w:r>
                  <w:r w:rsidR="0056487D">
                    <w:rPr>
                      <w:webHidden/>
                    </w:rPr>
                    <w:t>14</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6" w:history="1">
                  <w:r w:rsidR="007D533F" w:rsidRPr="00113BBB">
                    <w:rPr>
                      <w:rStyle w:val="Hyperlink"/>
                    </w:rPr>
                    <w:t>Table 12: Credit risk exposure and Credit Risk Mitigation (CRM) effects (CR4)</w:t>
                  </w:r>
                  <w:r w:rsidR="007D533F">
                    <w:rPr>
                      <w:webHidden/>
                    </w:rPr>
                    <w:tab/>
                  </w:r>
                  <w:r w:rsidR="007D533F">
                    <w:rPr>
                      <w:webHidden/>
                    </w:rPr>
                    <w:fldChar w:fldCharType="begin"/>
                  </w:r>
                  <w:r w:rsidR="007D533F">
                    <w:rPr>
                      <w:webHidden/>
                    </w:rPr>
                    <w:instrText xml:space="preserve"> PAGEREF _Toc22895976 \h </w:instrText>
                  </w:r>
                  <w:r w:rsidR="007D533F">
                    <w:rPr>
                      <w:webHidden/>
                    </w:rPr>
                  </w:r>
                  <w:r w:rsidR="007D533F">
                    <w:rPr>
                      <w:webHidden/>
                    </w:rPr>
                    <w:fldChar w:fldCharType="separate"/>
                  </w:r>
                  <w:r w:rsidR="0056487D">
                    <w:rPr>
                      <w:webHidden/>
                    </w:rPr>
                    <w:t>15</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7" w:history="1">
                  <w:r w:rsidR="007D533F" w:rsidRPr="00113BBB">
                    <w:rPr>
                      <w:rStyle w:val="Hyperlink"/>
                    </w:rPr>
                    <w:t>Table 13: Standardised approach - exposures by asset classes and risk weights (CR5)</w:t>
                  </w:r>
                  <w:r w:rsidR="007D533F">
                    <w:rPr>
                      <w:webHidden/>
                    </w:rPr>
                    <w:tab/>
                  </w:r>
                  <w:r w:rsidR="007D533F">
                    <w:rPr>
                      <w:webHidden/>
                    </w:rPr>
                    <w:fldChar w:fldCharType="begin"/>
                  </w:r>
                  <w:r w:rsidR="007D533F">
                    <w:rPr>
                      <w:webHidden/>
                    </w:rPr>
                    <w:instrText xml:space="preserve"> PAGEREF _Toc22895977 \h </w:instrText>
                  </w:r>
                  <w:r w:rsidR="007D533F">
                    <w:rPr>
                      <w:webHidden/>
                    </w:rPr>
                  </w:r>
                  <w:r w:rsidR="007D533F">
                    <w:rPr>
                      <w:webHidden/>
                    </w:rPr>
                    <w:fldChar w:fldCharType="separate"/>
                  </w:r>
                  <w:r w:rsidR="0056487D">
                    <w:rPr>
                      <w:webHidden/>
                    </w:rPr>
                    <w:t>16</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8" w:history="1">
                  <w:r w:rsidR="007D533F" w:rsidRPr="00113BBB">
                    <w:rPr>
                      <w:rStyle w:val="Hyperlink"/>
                    </w:rPr>
                    <w:t>Table 14: Analysis of counterparty credit risk (CCR) exposure by approach (CCR1)</w:t>
                  </w:r>
                  <w:r w:rsidR="007D533F">
                    <w:rPr>
                      <w:webHidden/>
                    </w:rPr>
                    <w:tab/>
                  </w:r>
                  <w:r w:rsidR="007D533F">
                    <w:rPr>
                      <w:webHidden/>
                    </w:rPr>
                    <w:fldChar w:fldCharType="begin"/>
                  </w:r>
                  <w:r w:rsidR="007D533F">
                    <w:rPr>
                      <w:webHidden/>
                    </w:rPr>
                    <w:instrText xml:space="preserve"> PAGEREF _Toc22895978 \h </w:instrText>
                  </w:r>
                  <w:r w:rsidR="007D533F">
                    <w:rPr>
                      <w:webHidden/>
                    </w:rPr>
                  </w:r>
                  <w:r w:rsidR="007D533F">
                    <w:rPr>
                      <w:webHidden/>
                    </w:rPr>
                    <w:fldChar w:fldCharType="separate"/>
                  </w:r>
                  <w:r w:rsidR="0056487D">
                    <w:rPr>
                      <w:webHidden/>
                    </w:rPr>
                    <w:t>17</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79" w:history="1">
                  <w:r w:rsidR="007D533F" w:rsidRPr="00113BBB">
                    <w:rPr>
                      <w:rStyle w:val="Hyperlink"/>
                    </w:rPr>
                    <w:t>Table 15: Credit valuation adjustment (CVA) capital charge (CCR2)</w:t>
                  </w:r>
                  <w:r w:rsidR="007D533F">
                    <w:rPr>
                      <w:webHidden/>
                    </w:rPr>
                    <w:tab/>
                  </w:r>
                  <w:r w:rsidR="007D533F">
                    <w:rPr>
                      <w:webHidden/>
                    </w:rPr>
                    <w:fldChar w:fldCharType="begin"/>
                  </w:r>
                  <w:r w:rsidR="007D533F">
                    <w:rPr>
                      <w:webHidden/>
                    </w:rPr>
                    <w:instrText xml:space="preserve"> PAGEREF _Toc22895979 \h </w:instrText>
                  </w:r>
                  <w:r w:rsidR="007D533F">
                    <w:rPr>
                      <w:webHidden/>
                    </w:rPr>
                  </w:r>
                  <w:r w:rsidR="007D533F">
                    <w:rPr>
                      <w:webHidden/>
                    </w:rPr>
                    <w:fldChar w:fldCharType="separate"/>
                  </w:r>
                  <w:r w:rsidR="0056487D">
                    <w:rPr>
                      <w:webHidden/>
                    </w:rPr>
                    <w:t>17</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80" w:history="1">
                  <w:r w:rsidR="007D533F" w:rsidRPr="00113BBB">
                    <w:rPr>
                      <w:rStyle w:val="Hyperlink"/>
                    </w:rPr>
                    <w:t>Table 16: Standardised approach - CCR exposures by regulatory portfolio and risk weights (CCR3)</w:t>
                  </w:r>
                  <w:r w:rsidR="007D533F">
                    <w:rPr>
                      <w:webHidden/>
                    </w:rPr>
                    <w:tab/>
                  </w:r>
                  <w:r w:rsidR="007D533F">
                    <w:rPr>
                      <w:webHidden/>
                    </w:rPr>
                    <w:fldChar w:fldCharType="begin"/>
                  </w:r>
                  <w:r w:rsidR="007D533F">
                    <w:rPr>
                      <w:webHidden/>
                    </w:rPr>
                    <w:instrText xml:space="preserve"> PAGEREF _Toc22895980 \h </w:instrText>
                  </w:r>
                  <w:r w:rsidR="007D533F">
                    <w:rPr>
                      <w:webHidden/>
                    </w:rPr>
                  </w:r>
                  <w:r w:rsidR="007D533F">
                    <w:rPr>
                      <w:webHidden/>
                    </w:rPr>
                    <w:fldChar w:fldCharType="separate"/>
                  </w:r>
                  <w:r w:rsidR="0056487D">
                    <w:rPr>
                      <w:webHidden/>
                    </w:rPr>
                    <w:t>18</w:t>
                  </w:r>
                  <w:r w:rsidR="007D533F">
                    <w:rPr>
                      <w:webHidden/>
                    </w:rPr>
                    <w:fldChar w:fldCharType="end"/>
                  </w:r>
                </w:hyperlink>
              </w:p>
              <w:p w:rsidR="00DB6C50" w:rsidRDefault="00DB6C50" w:rsidP="007D533F">
                <w:pPr>
                  <w:pStyle w:val="TOC1"/>
                  <w:rPr>
                    <w:rStyle w:val="Hyperlink"/>
                  </w:rPr>
                </w:pPr>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81" w:history="1">
                  <w:r w:rsidR="007D533F" w:rsidRPr="00113BBB">
                    <w:rPr>
                      <w:rStyle w:val="Hyperlink"/>
                      <w:lang w:val="en-ZA" w:eastAsia="en-ZA"/>
                    </w:rPr>
                    <w:t>Market Risk</w:t>
                  </w:r>
                  <w:r w:rsidR="007D533F">
                    <w:rPr>
                      <w:webHidden/>
                    </w:rPr>
                    <w:tab/>
                  </w:r>
                  <w:r w:rsidR="007D533F">
                    <w:rPr>
                      <w:webHidden/>
                    </w:rPr>
                    <w:fldChar w:fldCharType="begin"/>
                  </w:r>
                  <w:r w:rsidR="007D533F">
                    <w:rPr>
                      <w:webHidden/>
                    </w:rPr>
                    <w:instrText xml:space="preserve"> PAGEREF _Toc22895981 \h </w:instrText>
                  </w:r>
                  <w:r w:rsidR="007D533F">
                    <w:rPr>
                      <w:webHidden/>
                    </w:rPr>
                  </w:r>
                  <w:r w:rsidR="007D533F">
                    <w:rPr>
                      <w:webHidden/>
                    </w:rPr>
                    <w:fldChar w:fldCharType="separate"/>
                  </w:r>
                  <w:r w:rsidR="0056487D">
                    <w:rPr>
                      <w:webHidden/>
                    </w:rPr>
                    <w:t>19</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82" w:history="1">
                  <w:r w:rsidR="007D533F" w:rsidRPr="00113BBB">
                    <w:rPr>
                      <w:rStyle w:val="Hyperlink"/>
                    </w:rPr>
                    <w:t>Table 17: Market risk under the standardised approach (SA) (MR1)</w:t>
                  </w:r>
                  <w:r w:rsidR="007D533F">
                    <w:rPr>
                      <w:webHidden/>
                    </w:rPr>
                    <w:tab/>
                  </w:r>
                  <w:r w:rsidR="007D533F">
                    <w:rPr>
                      <w:webHidden/>
                    </w:rPr>
                    <w:fldChar w:fldCharType="begin"/>
                  </w:r>
                  <w:r w:rsidR="007D533F">
                    <w:rPr>
                      <w:webHidden/>
                    </w:rPr>
                    <w:instrText xml:space="preserve"> PAGEREF _Toc22895982 \h </w:instrText>
                  </w:r>
                  <w:r w:rsidR="007D533F">
                    <w:rPr>
                      <w:webHidden/>
                    </w:rPr>
                  </w:r>
                  <w:r w:rsidR="007D533F">
                    <w:rPr>
                      <w:webHidden/>
                    </w:rPr>
                    <w:fldChar w:fldCharType="separate"/>
                  </w:r>
                  <w:r w:rsidR="0056487D">
                    <w:rPr>
                      <w:webHidden/>
                    </w:rPr>
                    <w:t>19</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83" w:history="1">
                  <w:r w:rsidR="007D533F" w:rsidRPr="00113BBB">
                    <w:rPr>
                      <w:rStyle w:val="Hyperlink"/>
                    </w:rPr>
                    <w:t>Table 18: Exposure to interest rate risk in the Banking Book</w:t>
                  </w:r>
                  <w:r w:rsidR="007D533F">
                    <w:rPr>
                      <w:webHidden/>
                    </w:rPr>
                    <w:tab/>
                  </w:r>
                  <w:r w:rsidR="007D533F">
                    <w:rPr>
                      <w:webHidden/>
                    </w:rPr>
                    <w:fldChar w:fldCharType="begin"/>
                  </w:r>
                  <w:r w:rsidR="007D533F">
                    <w:rPr>
                      <w:webHidden/>
                    </w:rPr>
                    <w:instrText xml:space="preserve"> PAGEREF _Toc22895983 \h </w:instrText>
                  </w:r>
                  <w:r w:rsidR="007D533F">
                    <w:rPr>
                      <w:webHidden/>
                    </w:rPr>
                  </w:r>
                  <w:r w:rsidR="007D533F">
                    <w:rPr>
                      <w:webHidden/>
                    </w:rPr>
                    <w:fldChar w:fldCharType="separate"/>
                  </w:r>
                  <w:r w:rsidR="0056487D">
                    <w:rPr>
                      <w:webHidden/>
                    </w:rPr>
                    <w:t>20</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84" w:history="1">
                  <w:r w:rsidR="007D533F" w:rsidRPr="00113BBB">
                    <w:rPr>
                      <w:rStyle w:val="Hyperlink"/>
                      <w:lang w:val="en-ZA" w:eastAsia="en-ZA"/>
                    </w:rPr>
                    <w:t>Operational risk</w:t>
                  </w:r>
                  <w:r w:rsidR="007D533F">
                    <w:rPr>
                      <w:webHidden/>
                    </w:rPr>
                    <w:tab/>
                  </w:r>
                  <w:r w:rsidR="007D533F">
                    <w:rPr>
                      <w:webHidden/>
                    </w:rPr>
                    <w:fldChar w:fldCharType="begin"/>
                  </w:r>
                  <w:r w:rsidR="007D533F">
                    <w:rPr>
                      <w:webHidden/>
                    </w:rPr>
                    <w:instrText xml:space="preserve"> PAGEREF _Toc22895984 \h </w:instrText>
                  </w:r>
                  <w:r w:rsidR="007D533F">
                    <w:rPr>
                      <w:webHidden/>
                    </w:rPr>
                  </w:r>
                  <w:r w:rsidR="007D533F">
                    <w:rPr>
                      <w:webHidden/>
                    </w:rPr>
                    <w:fldChar w:fldCharType="separate"/>
                  </w:r>
                  <w:r w:rsidR="0056487D">
                    <w:rPr>
                      <w:webHidden/>
                    </w:rPr>
                    <w:t>21</w:t>
                  </w:r>
                  <w:r w:rsidR="007D533F">
                    <w:rPr>
                      <w:webHidden/>
                    </w:rPr>
                    <w:fldChar w:fldCharType="end"/>
                  </w:r>
                </w:hyperlink>
              </w:p>
              <w:p w:rsidR="007D533F" w:rsidRDefault="00E8101C" w:rsidP="007D533F">
                <w:pPr>
                  <w:pStyle w:val="TOC2"/>
                  <w:rPr>
                    <w:rFonts w:asciiTheme="minorHAnsi" w:eastAsiaTheme="minorEastAsia" w:hAnsiTheme="minorHAnsi" w:cstheme="minorBidi"/>
                    <w:color w:val="auto"/>
                    <w:sz w:val="22"/>
                    <w:lang w:val="en-ZA" w:eastAsia="en-ZA"/>
                  </w:rPr>
                </w:pPr>
                <w:hyperlink w:anchor="_Toc22895985" w:history="1">
                  <w:r w:rsidR="007D533F" w:rsidRPr="00113BBB">
                    <w:rPr>
                      <w:rStyle w:val="Hyperlink"/>
                    </w:rPr>
                    <w:t>Table 19: Operational risk RWA’s</w:t>
                  </w:r>
                  <w:r w:rsidR="007D533F">
                    <w:rPr>
                      <w:webHidden/>
                    </w:rPr>
                    <w:tab/>
                  </w:r>
                  <w:r w:rsidR="007D533F">
                    <w:rPr>
                      <w:webHidden/>
                    </w:rPr>
                    <w:fldChar w:fldCharType="begin"/>
                  </w:r>
                  <w:r w:rsidR="007D533F">
                    <w:rPr>
                      <w:webHidden/>
                    </w:rPr>
                    <w:instrText xml:space="preserve"> PAGEREF _Toc22895985 \h </w:instrText>
                  </w:r>
                  <w:r w:rsidR="007D533F">
                    <w:rPr>
                      <w:webHidden/>
                    </w:rPr>
                  </w:r>
                  <w:r w:rsidR="007D533F">
                    <w:rPr>
                      <w:webHidden/>
                    </w:rPr>
                    <w:fldChar w:fldCharType="separate"/>
                  </w:r>
                  <w:r w:rsidR="0056487D">
                    <w:rPr>
                      <w:webHidden/>
                    </w:rPr>
                    <w:t>22</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86" w:history="1">
                  <w:r w:rsidR="007D533F" w:rsidRPr="00113BBB">
                    <w:rPr>
                      <w:rStyle w:val="Hyperlink"/>
                      <w:lang w:val="en-ZA" w:eastAsia="en-ZA"/>
                    </w:rPr>
                    <w:t>Remuneration</w:t>
                  </w:r>
                  <w:r w:rsidR="007D533F">
                    <w:rPr>
                      <w:webHidden/>
                    </w:rPr>
                    <w:tab/>
                  </w:r>
                  <w:r w:rsidR="007D533F">
                    <w:rPr>
                      <w:webHidden/>
                    </w:rPr>
                    <w:fldChar w:fldCharType="begin"/>
                  </w:r>
                  <w:r w:rsidR="007D533F">
                    <w:rPr>
                      <w:webHidden/>
                    </w:rPr>
                    <w:instrText xml:space="preserve"> PAGEREF _Toc22895986 \h </w:instrText>
                  </w:r>
                  <w:r w:rsidR="007D533F">
                    <w:rPr>
                      <w:webHidden/>
                    </w:rPr>
                  </w:r>
                  <w:r w:rsidR="007D533F">
                    <w:rPr>
                      <w:webHidden/>
                    </w:rPr>
                    <w:fldChar w:fldCharType="separate"/>
                  </w:r>
                  <w:r w:rsidR="0056487D">
                    <w:rPr>
                      <w:webHidden/>
                    </w:rPr>
                    <w:t>23</w:t>
                  </w:r>
                  <w:r w:rsidR="007D533F">
                    <w:rPr>
                      <w:webHidden/>
                    </w:rPr>
                    <w:fldChar w:fldCharType="end"/>
                  </w:r>
                </w:hyperlink>
              </w:p>
              <w:p w:rsidR="007D533F" w:rsidRDefault="00E8101C" w:rsidP="007D533F">
                <w:pPr>
                  <w:pStyle w:val="TOC1"/>
                  <w:rPr>
                    <w:rFonts w:asciiTheme="minorHAnsi" w:eastAsiaTheme="minorEastAsia" w:hAnsiTheme="minorHAnsi" w:cstheme="minorBidi"/>
                    <w:color w:val="auto"/>
                    <w:sz w:val="22"/>
                    <w:szCs w:val="22"/>
                    <w:lang w:val="en-ZA" w:eastAsia="en-ZA"/>
                  </w:rPr>
                </w:pPr>
                <w:hyperlink w:anchor="_Toc22895987" w:history="1">
                  <w:r w:rsidR="007D533F" w:rsidRPr="00113BBB">
                    <w:rPr>
                      <w:rStyle w:val="Hyperlink"/>
                      <w:lang w:val="en-ZA" w:eastAsia="en-ZA"/>
                    </w:rPr>
                    <w:t>Abbreviations</w:t>
                  </w:r>
                  <w:r w:rsidR="007D533F">
                    <w:rPr>
                      <w:webHidden/>
                    </w:rPr>
                    <w:tab/>
                  </w:r>
                  <w:r w:rsidR="007D533F">
                    <w:rPr>
                      <w:webHidden/>
                    </w:rPr>
                    <w:fldChar w:fldCharType="begin"/>
                  </w:r>
                  <w:r w:rsidR="007D533F">
                    <w:rPr>
                      <w:webHidden/>
                    </w:rPr>
                    <w:instrText xml:space="preserve"> PAGEREF _Toc22895987 \h </w:instrText>
                  </w:r>
                  <w:r w:rsidR="007D533F">
                    <w:rPr>
                      <w:webHidden/>
                    </w:rPr>
                  </w:r>
                  <w:r w:rsidR="007D533F">
                    <w:rPr>
                      <w:webHidden/>
                    </w:rPr>
                    <w:fldChar w:fldCharType="separate"/>
                  </w:r>
                  <w:r w:rsidR="0056487D">
                    <w:rPr>
                      <w:webHidden/>
                    </w:rPr>
                    <w:t>24</w:t>
                  </w:r>
                  <w:r w:rsidR="007D533F">
                    <w:rPr>
                      <w:webHidden/>
                    </w:rPr>
                    <w:fldChar w:fldCharType="end"/>
                  </w:r>
                </w:hyperlink>
              </w:p>
              <w:p w:rsidR="008629F5" w:rsidRDefault="008629F5" w:rsidP="0062699F">
                <w:r>
                  <w:rPr>
                    <w:b/>
                    <w:bCs/>
                    <w:noProof/>
                  </w:rPr>
                  <w:fldChar w:fldCharType="end"/>
                </w:r>
              </w:p>
            </w:sdtContent>
          </w:sdt>
          <w:p w:rsidR="004D3983" w:rsidRDefault="004D3983" w:rsidP="0062699F">
            <w:pPr>
              <w:pStyle w:val="BodyText1"/>
            </w:pPr>
          </w:p>
        </w:tc>
      </w:tr>
    </w:tbl>
    <w:p w:rsidR="00986D38" w:rsidRDefault="00986D38" w:rsidP="0062699F">
      <w:pPr>
        <w:pStyle w:val="BodyText1"/>
        <w:outlineLvl w:val="0"/>
        <w:rPr>
          <w:noProof/>
          <w:color w:val="FF0000"/>
          <w:sz w:val="44"/>
          <w:szCs w:val="44"/>
          <w:lang w:val="en-ZA" w:eastAsia="en-ZA"/>
        </w:rPr>
      </w:pPr>
      <w:bookmarkStart w:id="1" w:name="_Toc524694473"/>
    </w:p>
    <w:p w:rsidR="002A13D8" w:rsidRDefault="002A13D8">
      <w:pPr>
        <w:rPr>
          <w:rFonts w:cs="Arial"/>
          <w:noProof/>
          <w:color w:val="FF0000"/>
          <w:sz w:val="44"/>
          <w:szCs w:val="44"/>
          <w:lang w:val="en-ZA" w:eastAsia="en-ZA"/>
        </w:rPr>
      </w:pPr>
      <w:r>
        <w:rPr>
          <w:noProof/>
          <w:color w:val="FF0000"/>
          <w:sz w:val="44"/>
          <w:szCs w:val="44"/>
          <w:lang w:val="en-ZA" w:eastAsia="en-ZA"/>
        </w:rPr>
        <w:br w:type="page"/>
      </w:r>
    </w:p>
    <w:p w:rsidR="00E27313" w:rsidRPr="008629F5" w:rsidRDefault="00C73267" w:rsidP="0062699F">
      <w:pPr>
        <w:pStyle w:val="BodyText1"/>
        <w:outlineLvl w:val="0"/>
        <w:rPr>
          <w:noProof/>
          <w:color w:val="FF0000"/>
          <w:sz w:val="44"/>
          <w:szCs w:val="44"/>
          <w:lang w:val="en-ZA" w:eastAsia="en-ZA"/>
        </w:rPr>
      </w:pPr>
      <w:bookmarkStart w:id="2" w:name="_Toc22895955"/>
      <w:r w:rsidRPr="008629F5">
        <w:rPr>
          <w:noProof/>
          <w:color w:val="FF0000"/>
          <w:sz w:val="44"/>
          <w:szCs w:val="44"/>
          <w:lang w:val="en-ZA" w:eastAsia="en-ZA"/>
        </w:rPr>
        <w:lastRenderedPageBreak/>
        <w:t>Regulatory framework for disclosure</w:t>
      </w:r>
      <w:bookmarkEnd w:id="1"/>
      <w:bookmarkEnd w:id="2"/>
    </w:p>
    <w:p w:rsidR="00E27313" w:rsidRPr="00747618" w:rsidRDefault="00E27313" w:rsidP="0062699F">
      <w:pPr>
        <w:rPr>
          <w:rFonts w:cs="Arial"/>
          <w:noProof/>
          <w:color w:val="FF0000"/>
          <w:lang w:val="en-ZA" w:eastAsia="en-ZA"/>
        </w:rPr>
      </w:pPr>
    </w:p>
    <w:p w:rsidR="005E03CF" w:rsidRDefault="00C73267" w:rsidP="0062699F">
      <w:pPr>
        <w:rPr>
          <w:rFonts w:cs="Arial"/>
          <w:color w:val="auto"/>
          <w:sz w:val="20"/>
          <w:szCs w:val="20"/>
        </w:rPr>
      </w:pPr>
      <w:r w:rsidRPr="003E73B1">
        <w:rPr>
          <w:rFonts w:cs="Arial"/>
          <w:color w:val="auto"/>
          <w:sz w:val="20"/>
          <w:szCs w:val="20"/>
        </w:rPr>
        <w:t>HSBC Bank plc – Johannesburg Branch (‘HSBC JOH’) is supervised by the South African Reserve Bank</w:t>
      </w:r>
      <w:r w:rsidR="00B30DB0">
        <w:rPr>
          <w:rFonts w:cs="Arial"/>
          <w:color w:val="auto"/>
          <w:sz w:val="20"/>
          <w:szCs w:val="20"/>
        </w:rPr>
        <w:t xml:space="preserve"> Prudential Authority</w:t>
      </w:r>
      <w:r w:rsidRPr="003E73B1">
        <w:rPr>
          <w:rFonts w:cs="Arial"/>
          <w:color w:val="auto"/>
          <w:sz w:val="20"/>
          <w:szCs w:val="20"/>
        </w:rPr>
        <w:t>, which receives information on the capital adequacy of, and sets capital requirements for South African banks. The capital requirements is calculated based on the various regulations relating to financial services, including Basel Capital Accord (Basel) III</w:t>
      </w:r>
      <w:r w:rsidR="00B30DB0">
        <w:rPr>
          <w:rFonts w:cs="Arial"/>
          <w:color w:val="auto"/>
          <w:sz w:val="20"/>
          <w:szCs w:val="20"/>
        </w:rPr>
        <w:t>.</w:t>
      </w:r>
      <w:r w:rsidRPr="003E73B1">
        <w:rPr>
          <w:rFonts w:cs="Arial"/>
          <w:color w:val="auto"/>
          <w:sz w:val="20"/>
          <w:szCs w:val="20"/>
        </w:rPr>
        <w:t xml:space="preserve"> The Basel Committee’s framework is structured around three ‘pillars’: the Pillar 1 minimum capital requirements and Pillar 2 supervisory review process are complemented by Pillar 3 market discipline. The aim of Pillar 3 is to produce disclosures that allow market participants to assess the scope of application by banks of the Basel Committee’s framework and the rules in their jurisdiction, their capital condition, risk exposures and risk management processes, and hence their capital adequacy. Pillar 3 requires all material risks to be disclosed, enabling a comprehensive view of a bank’s risk profile.</w:t>
      </w:r>
      <w:bookmarkStart w:id="3" w:name="_Toc524694474"/>
    </w:p>
    <w:p w:rsidR="00A42289" w:rsidRDefault="00A42289" w:rsidP="0062699F">
      <w:pPr>
        <w:pStyle w:val="BodyText1"/>
        <w:outlineLvl w:val="0"/>
        <w:rPr>
          <w:noProof/>
          <w:color w:val="FF0000"/>
          <w:sz w:val="44"/>
          <w:szCs w:val="44"/>
          <w:lang w:val="en-ZA" w:eastAsia="en-ZA"/>
        </w:rPr>
      </w:pPr>
    </w:p>
    <w:p w:rsidR="00C73267" w:rsidRPr="008629F5" w:rsidRDefault="00C73267" w:rsidP="0062699F">
      <w:pPr>
        <w:pStyle w:val="BodyText1"/>
        <w:outlineLvl w:val="0"/>
        <w:rPr>
          <w:noProof/>
          <w:color w:val="FF0000"/>
          <w:sz w:val="44"/>
          <w:szCs w:val="44"/>
          <w:lang w:val="en-ZA" w:eastAsia="en-ZA"/>
        </w:rPr>
      </w:pPr>
      <w:bookmarkStart w:id="4" w:name="_Toc22895956"/>
      <w:r w:rsidRPr="008629F5">
        <w:rPr>
          <w:noProof/>
          <w:color w:val="FF0000"/>
          <w:sz w:val="44"/>
          <w:szCs w:val="44"/>
          <w:lang w:val="en-ZA" w:eastAsia="en-ZA"/>
        </w:rPr>
        <w:t>Pillar 3 disclosures</w:t>
      </w:r>
      <w:bookmarkEnd w:id="3"/>
      <w:bookmarkEnd w:id="4"/>
    </w:p>
    <w:p w:rsidR="005E03CF" w:rsidRPr="00747618" w:rsidRDefault="005E03CF" w:rsidP="0062699F">
      <w:pPr>
        <w:rPr>
          <w:rFonts w:cs="Arial"/>
          <w:color w:val="auto"/>
        </w:rPr>
      </w:pPr>
    </w:p>
    <w:p w:rsidR="00C73267" w:rsidRPr="003E73B1" w:rsidRDefault="00C73267" w:rsidP="0062699F">
      <w:pPr>
        <w:rPr>
          <w:rFonts w:cs="Arial"/>
          <w:color w:val="auto"/>
          <w:sz w:val="20"/>
          <w:szCs w:val="20"/>
        </w:rPr>
      </w:pPr>
      <w:r w:rsidRPr="003E73B1">
        <w:rPr>
          <w:rFonts w:cs="Arial"/>
          <w:color w:val="auto"/>
          <w:sz w:val="20"/>
          <w:szCs w:val="20"/>
        </w:rPr>
        <w:t>HSBC JOH’s Pillar 3</w:t>
      </w:r>
      <w:r w:rsidR="00CB2AD9">
        <w:rPr>
          <w:rFonts w:cs="Arial"/>
          <w:color w:val="auto"/>
          <w:sz w:val="20"/>
          <w:szCs w:val="20"/>
        </w:rPr>
        <w:t xml:space="preserve"> disclosures </w:t>
      </w:r>
      <w:r w:rsidR="00F248BF">
        <w:rPr>
          <w:rFonts w:cs="Arial"/>
          <w:color w:val="auto"/>
          <w:sz w:val="20"/>
          <w:szCs w:val="20"/>
        </w:rPr>
        <w:t xml:space="preserve">at </w:t>
      </w:r>
      <w:r w:rsidR="00C93263">
        <w:rPr>
          <w:rFonts w:cs="Arial"/>
          <w:color w:val="auto"/>
          <w:sz w:val="20"/>
          <w:szCs w:val="20"/>
        </w:rPr>
        <w:t>30 June 2019</w:t>
      </w:r>
      <w:r w:rsidRPr="003E73B1">
        <w:rPr>
          <w:rFonts w:cs="Arial"/>
          <w:color w:val="auto"/>
          <w:sz w:val="20"/>
          <w:szCs w:val="20"/>
        </w:rPr>
        <w:t xml:space="preserve"> comprise all information required under Pillar 3, both quantitative and qualitative. HSBC Group has implemented Basel Committee on Banking Supervision (‘BCBS’) final standards on revised Pillar 3 disclosures is</w:t>
      </w:r>
      <w:r w:rsidR="00F3640B">
        <w:rPr>
          <w:rFonts w:cs="Arial"/>
          <w:color w:val="auto"/>
          <w:sz w:val="20"/>
          <w:szCs w:val="20"/>
        </w:rPr>
        <w:t>sued in January 2015. HSBC Holdings</w:t>
      </w:r>
      <w:r w:rsidRPr="003E73B1">
        <w:rPr>
          <w:rFonts w:cs="Arial"/>
          <w:color w:val="auto"/>
          <w:sz w:val="20"/>
          <w:szCs w:val="20"/>
        </w:rPr>
        <w:t xml:space="preserve"> plc publish</w:t>
      </w:r>
      <w:r w:rsidR="009E7CFC">
        <w:rPr>
          <w:rFonts w:cs="Arial"/>
          <w:color w:val="auto"/>
          <w:sz w:val="20"/>
          <w:szCs w:val="20"/>
        </w:rPr>
        <w:t>es</w:t>
      </w:r>
      <w:r w:rsidRPr="003E73B1">
        <w:rPr>
          <w:rFonts w:cs="Arial"/>
          <w:color w:val="auto"/>
          <w:sz w:val="20"/>
          <w:szCs w:val="20"/>
        </w:rPr>
        <w:t xml:space="preserve"> comprehensive Pillar 3 disclosures annually</w:t>
      </w:r>
      <w:r w:rsidR="009E7CFC">
        <w:rPr>
          <w:rFonts w:cs="Arial"/>
          <w:color w:val="auto"/>
          <w:sz w:val="20"/>
          <w:szCs w:val="20"/>
        </w:rPr>
        <w:t xml:space="preserve"> and half yearly</w:t>
      </w:r>
      <w:r w:rsidRPr="003E73B1">
        <w:rPr>
          <w:rFonts w:cs="Arial"/>
          <w:color w:val="auto"/>
          <w:sz w:val="20"/>
          <w:szCs w:val="20"/>
        </w:rPr>
        <w:t xml:space="preserve"> on the HSBC website www.hsbc.com, simultaneously with the release of the Annual Report and Accounts. Pillar 3 requirements may be met by inclusion in other disclosure media. Where we adopt this approach, references are provided to the relevant pages of the Annual Report and Accounts or other location.</w:t>
      </w:r>
    </w:p>
    <w:p w:rsidR="00C73267" w:rsidRPr="005E03CF" w:rsidRDefault="00C73267" w:rsidP="0062699F">
      <w:pPr>
        <w:rPr>
          <w:rFonts w:eastAsia="Times New Roman"/>
          <w:noProof/>
          <w:color w:val="FF0000"/>
          <w:kern w:val="28"/>
          <w:sz w:val="44"/>
          <w:szCs w:val="44"/>
          <w:lang w:val="en-ZA" w:eastAsia="en-ZA"/>
        </w:rPr>
      </w:pPr>
    </w:p>
    <w:p w:rsidR="00C73267" w:rsidRPr="008629F5" w:rsidRDefault="00C73267" w:rsidP="0062699F">
      <w:pPr>
        <w:pStyle w:val="BodyText1"/>
        <w:outlineLvl w:val="0"/>
        <w:rPr>
          <w:noProof/>
          <w:color w:val="FF0000"/>
          <w:sz w:val="44"/>
          <w:szCs w:val="44"/>
          <w:lang w:val="en-ZA" w:eastAsia="en-ZA"/>
        </w:rPr>
      </w:pPr>
      <w:bookmarkStart w:id="5" w:name="_Toc517438000"/>
      <w:bookmarkStart w:id="6" w:name="_Toc524694475"/>
      <w:bookmarkStart w:id="7" w:name="_Toc22895957"/>
      <w:r w:rsidRPr="008629F5">
        <w:rPr>
          <w:noProof/>
          <w:color w:val="FF0000"/>
          <w:sz w:val="44"/>
          <w:szCs w:val="44"/>
          <w:lang w:val="en-ZA" w:eastAsia="en-ZA"/>
        </w:rPr>
        <w:t>Report oversight</w:t>
      </w:r>
      <w:bookmarkEnd w:id="5"/>
      <w:bookmarkEnd w:id="6"/>
      <w:bookmarkEnd w:id="7"/>
    </w:p>
    <w:p w:rsidR="005E03CF" w:rsidRPr="00747618" w:rsidRDefault="005E03CF" w:rsidP="0062699F">
      <w:pPr>
        <w:rPr>
          <w:rFonts w:eastAsia="Times New Roman"/>
          <w:noProof/>
          <w:color w:val="FF0000"/>
          <w:kern w:val="28"/>
          <w:lang w:val="en-ZA" w:eastAsia="en-ZA"/>
        </w:rPr>
      </w:pPr>
    </w:p>
    <w:p w:rsidR="00F248BF" w:rsidRDefault="00C73267" w:rsidP="0062699F">
      <w:pPr>
        <w:rPr>
          <w:rFonts w:cs="Arial"/>
          <w:color w:val="auto"/>
          <w:sz w:val="20"/>
          <w:szCs w:val="20"/>
        </w:rPr>
      </w:pPr>
      <w:r w:rsidRPr="003E73B1">
        <w:rPr>
          <w:rFonts w:cs="Arial"/>
          <w:color w:val="auto"/>
          <w:sz w:val="20"/>
          <w:szCs w:val="20"/>
        </w:rPr>
        <w:t>HSB</w:t>
      </w:r>
      <w:r w:rsidR="00F248BF">
        <w:rPr>
          <w:rFonts w:cs="Arial"/>
          <w:color w:val="auto"/>
          <w:sz w:val="20"/>
          <w:szCs w:val="20"/>
        </w:rPr>
        <w:t>C JOH’s Executive committee (‘ExCo</w:t>
      </w:r>
      <w:r w:rsidRPr="003E73B1">
        <w:rPr>
          <w:rFonts w:cs="Arial"/>
          <w:color w:val="auto"/>
          <w:sz w:val="20"/>
          <w:szCs w:val="20"/>
        </w:rPr>
        <w:t>’) has the responsibility for the oversight of risk for the branch. A</w:t>
      </w:r>
      <w:r w:rsidR="00657B48">
        <w:rPr>
          <w:rFonts w:cs="Arial"/>
          <w:color w:val="auto"/>
          <w:sz w:val="20"/>
          <w:szCs w:val="20"/>
        </w:rPr>
        <w:t>t</w:t>
      </w:r>
    </w:p>
    <w:p w:rsidR="00C73267" w:rsidRDefault="00C93263" w:rsidP="0062699F">
      <w:pPr>
        <w:rPr>
          <w:rFonts w:cs="Arial"/>
          <w:color w:val="auto"/>
          <w:sz w:val="20"/>
          <w:szCs w:val="20"/>
        </w:rPr>
      </w:pPr>
      <w:r>
        <w:rPr>
          <w:rFonts w:cs="Arial"/>
          <w:color w:val="auto"/>
          <w:sz w:val="20"/>
          <w:szCs w:val="20"/>
        </w:rPr>
        <w:t>30 June 2019</w:t>
      </w:r>
      <w:r w:rsidR="00C73267" w:rsidRPr="003E73B1">
        <w:rPr>
          <w:rFonts w:cs="Arial"/>
          <w:color w:val="auto"/>
          <w:sz w:val="20"/>
          <w:szCs w:val="20"/>
        </w:rPr>
        <w:t>, E</w:t>
      </w:r>
      <w:r w:rsidR="001730FB">
        <w:rPr>
          <w:rFonts w:cs="Arial"/>
          <w:color w:val="auto"/>
          <w:sz w:val="20"/>
          <w:szCs w:val="20"/>
        </w:rPr>
        <w:t>x</w:t>
      </w:r>
      <w:r w:rsidR="00C73267" w:rsidRPr="003E73B1">
        <w:rPr>
          <w:rFonts w:cs="Arial"/>
          <w:color w:val="auto"/>
          <w:sz w:val="20"/>
          <w:szCs w:val="20"/>
        </w:rPr>
        <w:t>C</w:t>
      </w:r>
      <w:r w:rsidR="001730FB">
        <w:rPr>
          <w:rFonts w:cs="Arial"/>
          <w:color w:val="auto"/>
          <w:sz w:val="20"/>
          <w:szCs w:val="20"/>
        </w:rPr>
        <w:t>o</w:t>
      </w:r>
      <w:r w:rsidR="00C73267" w:rsidRPr="003E73B1">
        <w:rPr>
          <w:rFonts w:cs="Arial"/>
          <w:color w:val="auto"/>
          <w:sz w:val="20"/>
          <w:szCs w:val="20"/>
        </w:rPr>
        <w:t xml:space="preserve"> is satisfied that:</w:t>
      </w:r>
    </w:p>
    <w:p w:rsidR="008150AB" w:rsidRPr="003E73B1" w:rsidRDefault="008150AB" w:rsidP="0062699F">
      <w:pPr>
        <w:rPr>
          <w:rFonts w:cs="Arial"/>
          <w:color w:val="auto"/>
          <w:sz w:val="20"/>
          <w:szCs w:val="20"/>
        </w:rPr>
      </w:pPr>
    </w:p>
    <w:p w:rsidR="00C73267" w:rsidRPr="00F248BF" w:rsidRDefault="00C73267" w:rsidP="0062699F">
      <w:pPr>
        <w:pStyle w:val="ListParagraph"/>
        <w:numPr>
          <w:ilvl w:val="0"/>
          <w:numId w:val="16"/>
        </w:numPr>
        <w:rPr>
          <w:rFonts w:cs="Arial"/>
          <w:color w:val="auto"/>
          <w:sz w:val="20"/>
          <w:szCs w:val="20"/>
        </w:rPr>
      </w:pPr>
      <w:r w:rsidRPr="00F248BF">
        <w:rPr>
          <w:rFonts w:cs="Arial"/>
          <w:color w:val="auto"/>
          <w:sz w:val="20"/>
          <w:szCs w:val="20"/>
        </w:rPr>
        <w:t>HSBC’s risk, compliance, treasury and capital management generally operated effectively</w:t>
      </w:r>
    </w:p>
    <w:p w:rsidR="00C73267" w:rsidRPr="00F248BF" w:rsidRDefault="00C73267" w:rsidP="0062699F">
      <w:pPr>
        <w:pStyle w:val="ListParagraph"/>
        <w:numPr>
          <w:ilvl w:val="0"/>
          <w:numId w:val="16"/>
        </w:numPr>
        <w:rPr>
          <w:rFonts w:cs="Arial"/>
          <w:color w:val="auto"/>
          <w:sz w:val="20"/>
          <w:szCs w:val="20"/>
        </w:rPr>
      </w:pPr>
      <w:r w:rsidRPr="00F248BF">
        <w:rPr>
          <w:rFonts w:cs="Arial"/>
          <w:color w:val="auto"/>
          <w:sz w:val="20"/>
          <w:szCs w:val="20"/>
        </w:rPr>
        <w:t>HSBC’s business activities</w:t>
      </w:r>
      <w:r w:rsidR="00F248BF">
        <w:rPr>
          <w:rFonts w:cs="Arial"/>
          <w:color w:val="auto"/>
          <w:sz w:val="20"/>
          <w:szCs w:val="20"/>
        </w:rPr>
        <w:t xml:space="preserve"> have been managed within the ExCo</w:t>
      </w:r>
      <w:r w:rsidRPr="00F248BF">
        <w:rPr>
          <w:rFonts w:cs="Arial"/>
          <w:color w:val="auto"/>
          <w:sz w:val="20"/>
          <w:szCs w:val="20"/>
        </w:rPr>
        <w:t>-approved risk appetite</w:t>
      </w:r>
    </w:p>
    <w:p w:rsidR="00C73267" w:rsidRDefault="00C73267" w:rsidP="0062699F">
      <w:pPr>
        <w:pStyle w:val="ListParagraph"/>
        <w:numPr>
          <w:ilvl w:val="0"/>
          <w:numId w:val="16"/>
        </w:numPr>
        <w:rPr>
          <w:rFonts w:cs="Arial"/>
          <w:color w:val="auto"/>
          <w:sz w:val="20"/>
          <w:szCs w:val="20"/>
        </w:rPr>
      </w:pPr>
      <w:r w:rsidRPr="00F248BF">
        <w:rPr>
          <w:rFonts w:cs="Arial"/>
          <w:color w:val="auto"/>
          <w:sz w:val="20"/>
          <w:szCs w:val="20"/>
        </w:rPr>
        <w:t>HSBC is adequately funded and capitalised to support the execution its strategy.</w:t>
      </w:r>
    </w:p>
    <w:p w:rsidR="008150AB" w:rsidRPr="00F248BF" w:rsidRDefault="008150AB" w:rsidP="0062699F">
      <w:pPr>
        <w:pStyle w:val="ListParagraph"/>
        <w:rPr>
          <w:rFonts w:cs="Arial"/>
          <w:color w:val="auto"/>
          <w:sz w:val="20"/>
          <w:szCs w:val="20"/>
        </w:rPr>
      </w:pPr>
    </w:p>
    <w:p w:rsidR="00C73267" w:rsidRDefault="00C73267" w:rsidP="0062699F">
      <w:pPr>
        <w:rPr>
          <w:rFonts w:cs="Arial"/>
          <w:color w:val="auto"/>
          <w:sz w:val="20"/>
          <w:szCs w:val="20"/>
        </w:rPr>
      </w:pPr>
      <w:r w:rsidRPr="003E73B1">
        <w:rPr>
          <w:rFonts w:cs="Arial"/>
          <w:color w:val="auto"/>
          <w:sz w:val="20"/>
          <w:szCs w:val="20"/>
        </w:rPr>
        <w:t>D</w:t>
      </w:r>
      <w:r w:rsidR="00074051">
        <w:rPr>
          <w:rFonts w:cs="Arial"/>
          <w:color w:val="auto"/>
          <w:sz w:val="20"/>
          <w:szCs w:val="20"/>
        </w:rPr>
        <w:t>uring 2019</w:t>
      </w:r>
      <w:r w:rsidR="00F248BF">
        <w:rPr>
          <w:rFonts w:cs="Arial"/>
          <w:color w:val="auto"/>
          <w:sz w:val="20"/>
          <w:szCs w:val="20"/>
        </w:rPr>
        <w:t>, ExCo</w:t>
      </w:r>
      <w:r w:rsidR="00ED65F2">
        <w:rPr>
          <w:rFonts w:cs="Arial"/>
          <w:color w:val="auto"/>
          <w:sz w:val="20"/>
          <w:szCs w:val="20"/>
        </w:rPr>
        <w:t xml:space="preserve"> revie</w:t>
      </w:r>
      <w:r w:rsidR="00074051">
        <w:rPr>
          <w:rFonts w:cs="Arial"/>
          <w:color w:val="auto"/>
          <w:sz w:val="20"/>
          <w:szCs w:val="20"/>
        </w:rPr>
        <w:t>wed and</w:t>
      </w:r>
      <w:r w:rsidRPr="003E73B1">
        <w:rPr>
          <w:rFonts w:cs="Arial"/>
          <w:color w:val="auto"/>
          <w:sz w:val="20"/>
          <w:szCs w:val="20"/>
        </w:rPr>
        <w:t xml:space="preserve"> approved the disclosure policy, which incorporate</w:t>
      </w:r>
      <w:r w:rsidR="00074051">
        <w:rPr>
          <w:rFonts w:cs="Arial"/>
          <w:color w:val="auto"/>
          <w:sz w:val="20"/>
          <w:szCs w:val="20"/>
        </w:rPr>
        <w:t>s</w:t>
      </w:r>
      <w:r w:rsidRPr="003E73B1">
        <w:rPr>
          <w:rFonts w:cs="Arial"/>
          <w:color w:val="auto"/>
          <w:sz w:val="20"/>
          <w:szCs w:val="20"/>
        </w:rPr>
        <w:t xml:space="preserve"> the revised pillar 3 disclosure requirements set out by the BCBS. </w:t>
      </w:r>
    </w:p>
    <w:p w:rsidR="00ED65F2" w:rsidRPr="003E73B1" w:rsidRDefault="00ED65F2" w:rsidP="0062699F">
      <w:pPr>
        <w:rPr>
          <w:rFonts w:cs="Arial"/>
          <w:color w:val="auto"/>
          <w:sz w:val="20"/>
          <w:szCs w:val="20"/>
        </w:rPr>
      </w:pPr>
    </w:p>
    <w:p w:rsidR="00C73267" w:rsidRPr="003E73B1" w:rsidRDefault="00F248BF" w:rsidP="0062699F">
      <w:pPr>
        <w:rPr>
          <w:rFonts w:cs="Arial"/>
          <w:color w:val="auto"/>
          <w:sz w:val="20"/>
          <w:szCs w:val="20"/>
        </w:rPr>
      </w:pPr>
      <w:r>
        <w:rPr>
          <w:rFonts w:cs="Arial"/>
          <w:color w:val="auto"/>
          <w:sz w:val="20"/>
          <w:szCs w:val="20"/>
        </w:rPr>
        <w:t>The ExCo</w:t>
      </w:r>
      <w:r w:rsidR="00C73267" w:rsidRPr="003E73B1">
        <w:rPr>
          <w:rFonts w:cs="Arial"/>
          <w:color w:val="auto"/>
          <w:sz w:val="20"/>
          <w:szCs w:val="20"/>
        </w:rPr>
        <w:t xml:space="preserve"> is satisfied that this report has been prepared in accordance with the requirements of the disclosure policy and that an appropriate control framework has been applied in the preparation of this report.</w:t>
      </w:r>
    </w:p>
    <w:p w:rsidR="00C73267" w:rsidRPr="003E73B1" w:rsidRDefault="00C73267" w:rsidP="0062699F">
      <w:pPr>
        <w:rPr>
          <w:rFonts w:cs="Arial"/>
          <w:color w:val="auto"/>
          <w:sz w:val="20"/>
          <w:szCs w:val="20"/>
        </w:rPr>
      </w:pPr>
    </w:p>
    <w:p w:rsidR="002C7D6C" w:rsidRDefault="00C73267" w:rsidP="0062699F">
      <w:pPr>
        <w:rPr>
          <w:rFonts w:cs="Arial"/>
          <w:color w:val="auto"/>
          <w:sz w:val="20"/>
          <w:szCs w:val="20"/>
        </w:rPr>
      </w:pPr>
      <w:r w:rsidRPr="003E73B1">
        <w:rPr>
          <w:rFonts w:cs="Arial"/>
          <w:color w:val="auto"/>
          <w:sz w:val="20"/>
          <w:szCs w:val="20"/>
        </w:rPr>
        <w:t>All disclosures in this report ar</w:t>
      </w:r>
      <w:r w:rsidR="000968C7">
        <w:rPr>
          <w:rFonts w:cs="Arial"/>
          <w:color w:val="auto"/>
          <w:sz w:val="20"/>
          <w:szCs w:val="20"/>
        </w:rPr>
        <w:t>e unaudited.</w:t>
      </w:r>
    </w:p>
    <w:p w:rsidR="002C7D6C" w:rsidRDefault="002C7D6C" w:rsidP="0062699F">
      <w:pPr>
        <w:rPr>
          <w:rFonts w:cs="Arial"/>
          <w:color w:val="auto"/>
          <w:sz w:val="20"/>
          <w:szCs w:val="20"/>
        </w:rPr>
      </w:pPr>
      <w:r>
        <w:rPr>
          <w:rFonts w:cs="Arial"/>
          <w:color w:val="auto"/>
          <w:sz w:val="20"/>
          <w:szCs w:val="20"/>
        </w:rPr>
        <w:br w:type="page"/>
      </w:r>
    </w:p>
    <w:p w:rsidR="009661D4" w:rsidRDefault="009661D4" w:rsidP="0062699F">
      <w:pPr>
        <w:pStyle w:val="BodyText1"/>
        <w:outlineLvl w:val="0"/>
        <w:rPr>
          <w:noProof/>
          <w:color w:val="FF0000"/>
          <w:sz w:val="44"/>
          <w:szCs w:val="44"/>
          <w:lang w:val="en-ZA" w:eastAsia="en-ZA"/>
        </w:rPr>
      </w:pPr>
      <w:bookmarkStart w:id="8" w:name="_Toc22895958"/>
      <w:r w:rsidRPr="008629F5">
        <w:rPr>
          <w:noProof/>
          <w:color w:val="FF0000"/>
          <w:sz w:val="44"/>
          <w:szCs w:val="44"/>
          <w:lang w:val="en-ZA" w:eastAsia="en-ZA"/>
        </w:rPr>
        <w:lastRenderedPageBreak/>
        <w:t>Key Prudential matrics and overview of RWA</w:t>
      </w:r>
      <w:bookmarkEnd w:id="8"/>
    </w:p>
    <w:p w:rsidR="00747618" w:rsidRPr="00747618" w:rsidRDefault="00747618" w:rsidP="0062699F">
      <w:pPr>
        <w:pStyle w:val="BodyText1"/>
        <w:outlineLvl w:val="0"/>
        <w:rPr>
          <w:noProof/>
          <w:color w:val="FF0000"/>
          <w:sz w:val="24"/>
          <w:szCs w:val="24"/>
          <w:lang w:val="en-ZA" w:eastAsia="en-ZA"/>
        </w:rPr>
      </w:pPr>
    </w:p>
    <w:p w:rsidR="002C7D6C" w:rsidRPr="00846A07" w:rsidRDefault="009661D4" w:rsidP="0062699F">
      <w:pPr>
        <w:pStyle w:val="BodyText1"/>
        <w:outlineLvl w:val="1"/>
        <w:rPr>
          <w:color w:val="FF0000"/>
          <w:sz w:val="24"/>
          <w:szCs w:val="24"/>
        </w:rPr>
      </w:pPr>
      <w:bookmarkStart w:id="9" w:name="_Toc22895959"/>
      <w:r w:rsidRPr="00846A07">
        <w:rPr>
          <w:color w:val="FF0000"/>
          <w:sz w:val="24"/>
          <w:szCs w:val="24"/>
        </w:rPr>
        <w:t>Table 1: Key metrics (KM1)</w:t>
      </w:r>
      <w:bookmarkEnd w:id="9"/>
      <w:r w:rsidRPr="00846A07">
        <w:rPr>
          <w:color w:val="FF0000"/>
          <w:sz w:val="24"/>
          <w:szCs w:val="24"/>
        </w:rPr>
        <w:t xml:space="preserve"> </w:t>
      </w:r>
    </w:p>
    <w:p w:rsidR="00FC7FF4" w:rsidRPr="00747618" w:rsidRDefault="00FC7FF4" w:rsidP="00074051">
      <w:pPr>
        <w:ind w:firstLine="425"/>
        <w:rPr>
          <w:rFonts w:eastAsia="Times New Roman"/>
          <w:noProof/>
          <w:color w:val="FF0000"/>
          <w:kern w:val="28"/>
          <w:lang w:val="en-ZA" w:eastAsia="en-ZA"/>
        </w:rPr>
      </w:pPr>
    </w:p>
    <w:p w:rsidR="00CD715C" w:rsidRDefault="00074051" w:rsidP="0062699F">
      <w:pPr>
        <w:rPr>
          <w:rFonts w:eastAsia="Times New Roman"/>
          <w:noProof/>
          <w:color w:val="FF0000"/>
          <w:kern w:val="28"/>
          <w:sz w:val="44"/>
          <w:szCs w:val="44"/>
          <w:lang w:val="en-ZA" w:eastAsia="en-ZA"/>
        </w:rPr>
      </w:pPr>
      <w:r w:rsidRPr="00074051">
        <w:rPr>
          <w:noProof/>
          <w:lang w:val="en-ZA" w:eastAsia="en-ZA"/>
        </w:rPr>
        <w:drawing>
          <wp:inline distT="0" distB="0" distL="0" distR="0">
            <wp:extent cx="6355715" cy="5845701"/>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5715" cy="5845701"/>
                    </a:xfrm>
                    <a:prstGeom prst="rect">
                      <a:avLst/>
                    </a:prstGeom>
                    <a:noFill/>
                    <a:ln>
                      <a:noFill/>
                    </a:ln>
                  </pic:spPr>
                </pic:pic>
              </a:graphicData>
            </a:graphic>
          </wp:inline>
        </w:drawing>
      </w:r>
      <w:r w:rsidR="00CD715C">
        <w:rPr>
          <w:rFonts w:eastAsia="Times New Roman"/>
          <w:noProof/>
          <w:color w:val="FF0000"/>
          <w:kern w:val="28"/>
          <w:sz w:val="44"/>
          <w:szCs w:val="44"/>
          <w:lang w:val="en-ZA" w:eastAsia="en-ZA"/>
        </w:rPr>
        <w:br w:type="page"/>
      </w:r>
    </w:p>
    <w:p w:rsidR="00C73267" w:rsidRPr="008629F5" w:rsidRDefault="002C7D6C" w:rsidP="0062699F">
      <w:pPr>
        <w:pStyle w:val="BodyText1"/>
        <w:outlineLvl w:val="0"/>
        <w:rPr>
          <w:noProof/>
          <w:color w:val="FF0000"/>
          <w:sz w:val="44"/>
          <w:szCs w:val="44"/>
          <w:lang w:val="en-ZA" w:eastAsia="en-ZA"/>
        </w:rPr>
      </w:pPr>
      <w:bookmarkStart w:id="10" w:name="_Toc22895960"/>
      <w:r w:rsidRPr="008629F5">
        <w:rPr>
          <w:noProof/>
          <w:color w:val="FF0000"/>
          <w:sz w:val="44"/>
          <w:szCs w:val="44"/>
          <w:lang w:val="en-ZA" w:eastAsia="en-ZA"/>
        </w:rPr>
        <w:lastRenderedPageBreak/>
        <w:t>Risk management</w:t>
      </w:r>
      <w:bookmarkEnd w:id="10"/>
    </w:p>
    <w:p w:rsidR="00FC7FF4" w:rsidRPr="00747618" w:rsidRDefault="00FC7FF4" w:rsidP="0062699F">
      <w:pPr>
        <w:rPr>
          <w:rFonts w:cs="Arial"/>
          <w:bCs/>
          <w:color w:val="FF0000"/>
          <w:spacing w:val="-10"/>
          <w:kern w:val="32"/>
          <w:lang w:val="en-GB"/>
        </w:rPr>
      </w:pPr>
      <w:bookmarkStart w:id="11" w:name="_Toc517438009"/>
    </w:p>
    <w:p w:rsidR="00497E35" w:rsidRPr="007D533F" w:rsidRDefault="00497E35" w:rsidP="007D533F">
      <w:pPr>
        <w:pStyle w:val="BodyText1"/>
        <w:outlineLvl w:val="1"/>
        <w:rPr>
          <w:color w:val="FF0000"/>
          <w:sz w:val="24"/>
          <w:szCs w:val="24"/>
        </w:rPr>
      </w:pPr>
      <w:bookmarkStart w:id="12" w:name="_Toc22895961"/>
      <w:bookmarkEnd w:id="11"/>
      <w:r w:rsidRPr="007D533F">
        <w:rPr>
          <w:color w:val="FF0000"/>
          <w:sz w:val="24"/>
          <w:szCs w:val="24"/>
        </w:rPr>
        <w:t>Table 2: Overview of risk management</w:t>
      </w:r>
      <w:r w:rsidR="00BE17A8" w:rsidRPr="007D533F">
        <w:rPr>
          <w:color w:val="FF0000"/>
          <w:sz w:val="24"/>
          <w:szCs w:val="24"/>
        </w:rPr>
        <w:t xml:space="preserve"> (OV1)</w:t>
      </w:r>
      <w:bookmarkEnd w:id="12"/>
    </w:p>
    <w:p w:rsidR="00046EFA" w:rsidRPr="007D533F" w:rsidRDefault="00046EFA" w:rsidP="007D533F">
      <w:pPr>
        <w:pStyle w:val="BodyText1"/>
        <w:outlineLvl w:val="1"/>
        <w:rPr>
          <w:color w:val="FF0000"/>
          <w:sz w:val="24"/>
          <w:szCs w:val="24"/>
        </w:rPr>
      </w:pPr>
    </w:p>
    <w:p w:rsidR="007338FE" w:rsidRDefault="00074051" w:rsidP="0062699F">
      <w:pPr>
        <w:rPr>
          <w:rFonts w:eastAsia="Times New Roman"/>
          <w:noProof/>
          <w:color w:val="FF0000"/>
          <w:kern w:val="28"/>
          <w:sz w:val="54"/>
          <w:szCs w:val="54"/>
          <w:lang w:val="en-ZA" w:eastAsia="en-ZA"/>
        </w:rPr>
      </w:pPr>
      <w:bookmarkStart w:id="13" w:name="_Toc524694489"/>
      <w:r w:rsidRPr="00074051">
        <w:rPr>
          <w:noProof/>
          <w:lang w:val="en-ZA" w:eastAsia="en-ZA"/>
        </w:rPr>
        <w:drawing>
          <wp:inline distT="0" distB="0" distL="0" distR="0">
            <wp:extent cx="6336665" cy="570881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665" cy="5708810"/>
                    </a:xfrm>
                    <a:prstGeom prst="rect">
                      <a:avLst/>
                    </a:prstGeom>
                    <a:noFill/>
                    <a:ln>
                      <a:noFill/>
                    </a:ln>
                  </pic:spPr>
                </pic:pic>
              </a:graphicData>
            </a:graphic>
          </wp:inline>
        </w:drawing>
      </w:r>
    </w:p>
    <w:p w:rsidR="00A42289" w:rsidRDefault="00A42289" w:rsidP="0062699F">
      <w:pPr>
        <w:rPr>
          <w:rFonts w:asciiTheme="minorHAnsi" w:hAnsiTheme="minorHAnsi" w:cstheme="minorHAnsi"/>
          <w:color w:val="auto"/>
          <w:sz w:val="20"/>
          <w:szCs w:val="20"/>
        </w:rPr>
      </w:pPr>
    </w:p>
    <w:p w:rsidR="00CD715C" w:rsidRDefault="00CD715C" w:rsidP="0062699F">
      <w:pPr>
        <w:rPr>
          <w:noProof/>
          <w:color w:val="FF0000"/>
          <w:sz w:val="54"/>
          <w:szCs w:val="54"/>
          <w:lang w:val="en-ZA" w:eastAsia="en-ZA"/>
        </w:rPr>
      </w:pPr>
      <w:r>
        <w:rPr>
          <w:noProof/>
          <w:color w:val="FF0000"/>
          <w:sz w:val="54"/>
          <w:szCs w:val="54"/>
          <w:lang w:val="en-ZA" w:eastAsia="en-ZA"/>
        </w:rPr>
        <w:br w:type="page"/>
      </w:r>
    </w:p>
    <w:p w:rsidR="009F7558" w:rsidRPr="008629F5" w:rsidRDefault="009F7558" w:rsidP="0062699F">
      <w:pPr>
        <w:pStyle w:val="BodyText1"/>
        <w:outlineLvl w:val="0"/>
        <w:rPr>
          <w:noProof/>
          <w:color w:val="FF0000"/>
          <w:sz w:val="44"/>
          <w:szCs w:val="44"/>
          <w:lang w:val="en-ZA" w:eastAsia="en-ZA"/>
        </w:rPr>
      </w:pPr>
      <w:bookmarkStart w:id="14" w:name="_Toc22895962"/>
      <w:r w:rsidRPr="008629F5">
        <w:rPr>
          <w:noProof/>
          <w:color w:val="FF0000"/>
          <w:sz w:val="44"/>
          <w:szCs w:val="44"/>
          <w:lang w:val="en-ZA" w:eastAsia="en-ZA"/>
        </w:rPr>
        <w:lastRenderedPageBreak/>
        <w:t>Composition of capital</w:t>
      </w:r>
      <w:bookmarkEnd w:id="14"/>
      <w:r w:rsidR="00A56751">
        <w:rPr>
          <w:noProof/>
          <w:color w:val="FF0000"/>
          <w:sz w:val="44"/>
          <w:szCs w:val="44"/>
          <w:lang w:val="en-ZA" w:eastAsia="en-ZA"/>
        </w:rPr>
        <w:tab/>
      </w:r>
    </w:p>
    <w:p w:rsidR="009F7558" w:rsidRPr="00747618" w:rsidRDefault="009F7558" w:rsidP="0062699F">
      <w:pPr>
        <w:rPr>
          <w:noProof/>
          <w:lang w:val="en-ZA" w:eastAsia="en-ZA"/>
        </w:rPr>
      </w:pPr>
    </w:p>
    <w:p w:rsidR="009F7558" w:rsidRPr="00C572DB" w:rsidRDefault="009F7558" w:rsidP="0062699F">
      <w:pPr>
        <w:pStyle w:val="BodyText1"/>
        <w:outlineLvl w:val="1"/>
        <w:rPr>
          <w:color w:val="FF0000"/>
          <w:sz w:val="24"/>
          <w:szCs w:val="24"/>
        </w:rPr>
      </w:pPr>
      <w:bookmarkStart w:id="15" w:name="_Toc22895963"/>
      <w:r w:rsidRPr="00C572DB">
        <w:rPr>
          <w:color w:val="FF0000"/>
          <w:sz w:val="24"/>
          <w:szCs w:val="24"/>
        </w:rPr>
        <w:t xml:space="preserve">Table </w:t>
      </w:r>
      <w:r w:rsidR="00C93263">
        <w:rPr>
          <w:color w:val="FF0000"/>
          <w:sz w:val="24"/>
          <w:szCs w:val="24"/>
        </w:rPr>
        <w:t>3</w:t>
      </w:r>
      <w:r w:rsidRPr="00C572DB">
        <w:rPr>
          <w:color w:val="FF0000"/>
          <w:sz w:val="24"/>
          <w:szCs w:val="24"/>
        </w:rPr>
        <w:t>: Composition of regulatory capital (CC1)</w:t>
      </w:r>
      <w:bookmarkEnd w:id="15"/>
    </w:p>
    <w:p w:rsidR="009F7558" w:rsidRPr="00C572DB" w:rsidRDefault="009F7558" w:rsidP="0062699F">
      <w:pPr>
        <w:pStyle w:val="BodyText1"/>
        <w:outlineLvl w:val="1"/>
        <w:rPr>
          <w:color w:val="FF0000"/>
          <w:sz w:val="24"/>
          <w:szCs w:val="24"/>
        </w:rPr>
      </w:pPr>
    </w:p>
    <w:p w:rsidR="009F7558" w:rsidRDefault="00074051" w:rsidP="0062699F">
      <w:pPr>
        <w:rPr>
          <w:color w:val="FF0000"/>
          <w:sz w:val="22"/>
          <w:szCs w:val="22"/>
        </w:rPr>
      </w:pPr>
      <w:r w:rsidRPr="00074051">
        <w:rPr>
          <w:noProof/>
          <w:lang w:val="en-ZA" w:eastAsia="en-ZA"/>
        </w:rPr>
        <w:drawing>
          <wp:inline distT="0" distB="0" distL="0" distR="0">
            <wp:extent cx="6336665" cy="592942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665" cy="5929424"/>
                    </a:xfrm>
                    <a:prstGeom prst="rect">
                      <a:avLst/>
                    </a:prstGeom>
                    <a:noFill/>
                    <a:ln>
                      <a:noFill/>
                    </a:ln>
                  </pic:spPr>
                </pic:pic>
              </a:graphicData>
            </a:graphic>
          </wp:inline>
        </w:drawing>
      </w:r>
    </w:p>
    <w:p w:rsidR="009F7558" w:rsidRDefault="009F7558" w:rsidP="0062699F">
      <w:pPr>
        <w:rPr>
          <w:noProof/>
          <w:sz w:val="54"/>
          <w:szCs w:val="54"/>
          <w:lang w:val="en-ZA" w:eastAsia="en-ZA"/>
        </w:rPr>
      </w:pPr>
    </w:p>
    <w:p w:rsidR="001D4CC6" w:rsidRDefault="001D4CC6" w:rsidP="0062699F">
      <w:pPr>
        <w:rPr>
          <w:noProof/>
          <w:sz w:val="54"/>
          <w:szCs w:val="54"/>
          <w:lang w:val="en-ZA" w:eastAsia="en-ZA"/>
        </w:rPr>
      </w:pPr>
    </w:p>
    <w:p w:rsidR="009F7558" w:rsidRDefault="009F7558" w:rsidP="0062699F">
      <w:pPr>
        <w:rPr>
          <w:rFonts w:eastAsia="Times New Roman"/>
          <w:noProof/>
          <w:color w:val="FF0000"/>
          <w:kern w:val="28"/>
          <w:sz w:val="54"/>
          <w:szCs w:val="54"/>
          <w:lang w:val="en-ZA" w:eastAsia="en-ZA"/>
        </w:rPr>
      </w:pPr>
      <w:r>
        <w:rPr>
          <w:noProof/>
          <w:sz w:val="54"/>
          <w:szCs w:val="54"/>
          <w:lang w:val="en-ZA" w:eastAsia="en-ZA"/>
        </w:rPr>
        <w:br w:type="page"/>
      </w:r>
    </w:p>
    <w:p w:rsidR="001D4CC6" w:rsidRDefault="001D4CC6" w:rsidP="0062699F">
      <w:pPr>
        <w:rPr>
          <w:noProof/>
          <w:lang w:val="en-ZA" w:eastAsia="en-ZA"/>
        </w:rPr>
      </w:pPr>
    </w:p>
    <w:p w:rsidR="001D4CC6" w:rsidRDefault="001D4CC6" w:rsidP="0062699F">
      <w:pPr>
        <w:rPr>
          <w:noProof/>
          <w:lang w:val="en-ZA" w:eastAsia="en-ZA"/>
        </w:rPr>
      </w:pPr>
    </w:p>
    <w:p w:rsidR="00D51CA3" w:rsidRDefault="0012170F" w:rsidP="0062699F">
      <w:pPr>
        <w:rPr>
          <w:noProof/>
          <w:sz w:val="54"/>
          <w:szCs w:val="54"/>
          <w:lang w:val="en-ZA" w:eastAsia="en-ZA"/>
        </w:rPr>
      </w:pPr>
      <w:r w:rsidRPr="0012170F">
        <w:rPr>
          <w:noProof/>
          <w:lang w:val="en-ZA" w:eastAsia="en-ZA"/>
        </w:rPr>
        <w:drawing>
          <wp:inline distT="0" distB="0" distL="0" distR="0">
            <wp:extent cx="6336665" cy="66543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665" cy="6654313"/>
                    </a:xfrm>
                    <a:prstGeom prst="rect">
                      <a:avLst/>
                    </a:prstGeom>
                    <a:noFill/>
                    <a:ln>
                      <a:noFill/>
                    </a:ln>
                  </pic:spPr>
                </pic:pic>
              </a:graphicData>
            </a:graphic>
          </wp:inline>
        </w:drawing>
      </w:r>
    </w:p>
    <w:p w:rsidR="00747618" w:rsidRDefault="00747618" w:rsidP="0062699F"/>
    <w:p w:rsidR="00747618" w:rsidRDefault="00747618" w:rsidP="0062699F"/>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1D4CC6" w:rsidRDefault="001D4CC6" w:rsidP="0062699F">
      <w:pPr>
        <w:rPr>
          <w:noProof/>
          <w:lang w:val="en-ZA" w:eastAsia="en-ZA"/>
        </w:rPr>
      </w:pPr>
    </w:p>
    <w:p w:rsidR="00D51CA3" w:rsidRDefault="0012170F" w:rsidP="0062699F">
      <w:pPr>
        <w:rPr>
          <w:noProof/>
          <w:sz w:val="54"/>
          <w:szCs w:val="54"/>
          <w:lang w:val="en-ZA" w:eastAsia="en-ZA"/>
        </w:rPr>
      </w:pPr>
      <w:r w:rsidRPr="0012170F">
        <w:rPr>
          <w:noProof/>
          <w:lang w:val="en-ZA" w:eastAsia="en-ZA"/>
        </w:rPr>
        <w:drawing>
          <wp:inline distT="0" distB="0" distL="0" distR="0">
            <wp:extent cx="6336665" cy="662173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665" cy="6621733"/>
                    </a:xfrm>
                    <a:prstGeom prst="rect">
                      <a:avLst/>
                    </a:prstGeom>
                    <a:noFill/>
                    <a:ln>
                      <a:noFill/>
                    </a:ln>
                  </pic:spPr>
                </pic:pic>
              </a:graphicData>
            </a:graphic>
          </wp:inline>
        </w:drawing>
      </w:r>
    </w:p>
    <w:p w:rsidR="00A56E17" w:rsidRDefault="00A56E17" w:rsidP="0062699F">
      <w:pPr>
        <w:rPr>
          <w:rFonts w:eastAsia="Times New Roman"/>
          <w:noProof/>
          <w:color w:val="FF0000"/>
          <w:kern w:val="28"/>
          <w:sz w:val="54"/>
          <w:szCs w:val="54"/>
          <w:lang w:val="en-ZA" w:eastAsia="en-ZA"/>
        </w:rPr>
      </w:pPr>
      <w:r>
        <w:rPr>
          <w:noProof/>
          <w:sz w:val="54"/>
          <w:szCs w:val="54"/>
          <w:lang w:val="en-ZA" w:eastAsia="en-ZA"/>
        </w:rPr>
        <w:br w:type="page"/>
      </w:r>
    </w:p>
    <w:p w:rsidR="002116E2" w:rsidRPr="00747618" w:rsidRDefault="00497E35" w:rsidP="00747618">
      <w:pPr>
        <w:pStyle w:val="BodyText1"/>
        <w:outlineLvl w:val="0"/>
        <w:rPr>
          <w:noProof/>
          <w:color w:val="FF0000"/>
          <w:sz w:val="44"/>
          <w:szCs w:val="44"/>
          <w:lang w:val="en-ZA" w:eastAsia="en-ZA"/>
        </w:rPr>
      </w:pPr>
      <w:bookmarkStart w:id="16" w:name="_Toc22895964"/>
      <w:r w:rsidRPr="00C572DB">
        <w:rPr>
          <w:noProof/>
          <w:color w:val="FF0000"/>
          <w:sz w:val="44"/>
          <w:szCs w:val="44"/>
          <w:lang w:val="en-ZA" w:eastAsia="en-ZA"/>
        </w:rPr>
        <w:lastRenderedPageBreak/>
        <w:t>Macroprudential supervisory measures</w:t>
      </w:r>
      <w:bookmarkEnd w:id="16"/>
    </w:p>
    <w:p w:rsidR="002116E2" w:rsidRDefault="002116E2" w:rsidP="0062699F">
      <w:pPr>
        <w:rPr>
          <w:color w:val="FF0000"/>
          <w:lang w:val="en-ZA" w:eastAsia="en-ZA"/>
        </w:rPr>
      </w:pPr>
    </w:p>
    <w:p w:rsidR="003431FE" w:rsidRPr="00C572DB" w:rsidRDefault="003431FE" w:rsidP="0062699F">
      <w:pPr>
        <w:pStyle w:val="BodyText1"/>
        <w:outlineLvl w:val="1"/>
        <w:rPr>
          <w:color w:val="FF0000"/>
          <w:sz w:val="24"/>
          <w:szCs w:val="24"/>
        </w:rPr>
      </w:pPr>
      <w:bookmarkStart w:id="17" w:name="_Toc22895965"/>
      <w:r w:rsidRPr="00BE342A">
        <w:rPr>
          <w:color w:val="FF0000"/>
          <w:sz w:val="24"/>
          <w:szCs w:val="24"/>
        </w:rPr>
        <w:t xml:space="preserve">Table </w:t>
      </w:r>
      <w:r w:rsidR="00C93263">
        <w:rPr>
          <w:color w:val="FF0000"/>
          <w:sz w:val="24"/>
          <w:szCs w:val="24"/>
        </w:rPr>
        <w:t>4</w:t>
      </w:r>
      <w:r w:rsidR="00C93263">
        <w:rPr>
          <w:color w:val="FF0000"/>
          <w:sz w:val="24"/>
          <w:szCs w:val="24"/>
        </w:rPr>
        <w:tab/>
      </w:r>
      <w:r w:rsidRPr="00BE342A">
        <w:rPr>
          <w:color w:val="FF0000"/>
          <w:sz w:val="24"/>
          <w:szCs w:val="24"/>
        </w:rPr>
        <w:t>:</w:t>
      </w:r>
      <w:r w:rsidRPr="00C572DB">
        <w:rPr>
          <w:color w:val="FF0000"/>
          <w:sz w:val="24"/>
          <w:szCs w:val="24"/>
        </w:rPr>
        <w:t xml:space="preserve"> Geographical distribution of credit exposures used in the countercyclical capital buffer (CCyB1)</w:t>
      </w:r>
      <w:bookmarkEnd w:id="17"/>
    </w:p>
    <w:p w:rsidR="00392E40" w:rsidRPr="003431FE" w:rsidRDefault="00392E40" w:rsidP="0062699F">
      <w:pPr>
        <w:rPr>
          <w:color w:val="FF0000"/>
          <w:lang w:val="en-ZA" w:eastAsia="en-ZA"/>
        </w:rPr>
      </w:pPr>
    </w:p>
    <w:p w:rsidR="00497E35" w:rsidRDefault="00C93263" w:rsidP="0062699F">
      <w:pPr>
        <w:rPr>
          <w:noProof/>
          <w:sz w:val="54"/>
          <w:szCs w:val="54"/>
          <w:lang w:val="en-ZA" w:eastAsia="en-ZA"/>
        </w:rPr>
      </w:pPr>
      <w:r w:rsidRPr="00C93263">
        <w:rPr>
          <w:noProof/>
          <w:lang w:val="en-ZA" w:eastAsia="en-ZA"/>
        </w:rPr>
        <w:drawing>
          <wp:inline distT="0" distB="0" distL="0" distR="0">
            <wp:extent cx="6336665" cy="1746067"/>
            <wp:effectExtent l="0" t="0" r="6985"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1746067"/>
                    </a:xfrm>
                    <a:prstGeom prst="rect">
                      <a:avLst/>
                    </a:prstGeom>
                    <a:noFill/>
                    <a:ln>
                      <a:noFill/>
                    </a:ln>
                  </pic:spPr>
                </pic:pic>
              </a:graphicData>
            </a:graphic>
          </wp:inline>
        </w:drawing>
      </w:r>
    </w:p>
    <w:p w:rsidR="003431FE" w:rsidRDefault="003431FE" w:rsidP="0062699F">
      <w:pPr>
        <w:rPr>
          <w:noProof/>
          <w:color w:val="FF0000"/>
          <w:sz w:val="54"/>
          <w:szCs w:val="54"/>
          <w:lang w:val="en-ZA" w:eastAsia="en-ZA"/>
        </w:rPr>
      </w:pPr>
      <w:bookmarkStart w:id="18" w:name="_Toc524694505"/>
    </w:p>
    <w:p w:rsidR="0001398E" w:rsidRPr="00C572DB" w:rsidRDefault="00255E21" w:rsidP="0062699F">
      <w:pPr>
        <w:pStyle w:val="BodyText1"/>
        <w:outlineLvl w:val="0"/>
        <w:rPr>
          <w:noProof/>
          <w:color w:val="FF0000"/>
          <w:sz w:val="44"/>
          <w:szCs w:val="44"/>
          <w:lang w:val="en-ZA" w:eastAsia="en-ZA"/>
        </w:rPr>
      </w:pPr>
      <w:bookmarkStart w:id="19" w:name="_Toc22895966"/>
      <w:r w:rsidRPr="00C572DB">
        <w:rPr>
          <w:noProof/>
          <w:color w:val="FF0000"/>
          <w:sz w:val="44"/>
          <w:szCs w:val="44"/>
          <w:lang w:val="en-ZA" w:eastAsia="en-ZA"/>
        </w:rPr>
        <w:t>Leverage ratio</w:t>
      </w:r>
      <w:bookmarkEnd w:id="19"/>
    </w:p>
    <w:p w:rsidR="00FD6F60" w:rsidRPr="003946B9" w:rsidRDefault="00FD6F60" w:rsidP="0062699F">
      <w:pPr>
        <w:rPr>
          <w:rFonts w:cs="Arial"/>
          <w:color w:val="auto"/>
        </w:rPr>
      </w:pPr>
    </w:p>
    <w:p w:rsidR="0001398E" w:rsidRPr="003946B9" w:rsidRDefault="001D2719" w:rsidP="0062699F">
      <w:pPr>
        <w:rPr>
          <w:rFonts w:cs="Arial"/>
          <w:color w:val="auto"/>
          <w:sz w:val="20"/>
          <w:szCs w:val="20"/>
        </w:rPr>
      </w:pPr>
      <w:r w:rsidRPr="007E697F">
        <w:rPr>
          <w:rFonts w:cs="Arial"/>
          <w:color w:val="auto"/>
          <w:sz w:val="20"/>
          <w:szCs w:val="20"/>
        </w:rPr>
        <w:t xml:space="preserve">Our leverage ratio calculated in accordance with </w:t>
      </w:r>
      <w:r w:rsidR="009E7CFC" w:rsidRPr="007E697F">
        <w:rPr>
          <w:rFonts w:cs="Arial"/>
          <w:color w:val="auto"/>
          <w:sz w:val="20"/>
          <w:szCs w:val="20"/>
        </w:rPr>
        <w:t>So</w:t>
      </w:r>
      <w:r w:rsidR="00234236" w:rsidRPr="007E697F">
        <w:rPr>
          <w:rFonts w:cs="Arial"/>
          <w:color w:val="auto"/>
          <w:sz w:val="20"/>
          <w:szCs w:val="20"/>
        </w:rPr>
        <w:t>uth African Banks Act, 1990</w:t>
      </w:r>
      <w:r w:rsidR="00836E22" w:rsidRPr="007E697F">
        <w:rPr>
          <w:rFonts w:cs="Arial"/>
          <w:color w:val="auto"/>
          <w:sz w:val="20"/>
          <w:szCs w:val="20"/>
        </w:rPr>
        <w:t xml:space="preserve"> was</w:t>
      </w:r>
      <w:r w:rsidR="00DB6C50" w:rsidRPr="007E697F">
        <w:rPr>
          <w:rFonts w:cs="Arial"/>
          <w:color w:val="auto"/>
          <w:sz w:val="20"/>
          <w:szCs w:val="20"/>
        </w:rPr>
        <w:t xml:space="preserve"> 9.21</w:t>
      </w:r>
      <w:r w:rsidRPr="007E697F">
        <w:rPr>
          <w:rFonts w:cs="Arial"/>
          <w:color w:val="auto"/>
          <w:sz w:val="20"/>
          <w:szCs w:val="20"/>
        </w:rPr>
        <w:t xml:space="preserve">% at </w:t>
      </w:r>
      <w:r w:rsidR="00192380" w:rsidRPr="007E697F">
        <w:rPr>
          <w:rFonts w:cs="Arial"/>
          <w:color w:val="auto"/>
          <w:sz w:val="20"/>
          <w:szCs w:val="20"/>
        </w:rPr>
        <w:t>30 June</w:t>
      </w:r>
      <w:r w:rsidR="00836E22" w:rsidRPr="007E697F">
        <w:rPr>
          <w:rFonts w:cs="Arial"/>
          <w:color w:val="auto"/>
          <w:sz w:val="20"/>
          <w:szCs w:val="20"/>
        </w:rPr>
        <w:t xml:space="preserve"> 201</w:t>
      </w:r>
      <w:r w:rsidR="00192380" w:rsidRPr="007E697F">
        <w:rPr>
          <w:rFonts w:cs="Arial"/>
          <w:color w:val="auto"/>
          <w:sz w:val="20"/>
          <w:szCs w:val="20"/>
        </w:rPr>
        <w:t>9</w:t>
      </w:r>
      <w:r w:rsidR="004E0477">
        <w:rPr>
          <w:rFonts w:cs="Arial"/>
          <w:color w:val="auto"/>
          <w:sz w:val="20"/>
          <w:szCs w:val="20"/>
        </w:rPr>
        <w:t>, increased</w:t>
      </w:r>
      <w:r w:rsidR="007E697F" w:rsidRPr="007E697F">
        <w:rPr>
          <w:rFonts w:cs="Arial"/>
          <w:color w:val="auto"/>
          <w:sz w:val="20"/>
          <w:szCs w:val="20"/>
        </w:rPr>
        <w:t xml:space="preserve"> from 8.50</w:t>
      </w:r>
      <w:r w:rsidRPr="007E697F">
        <w:rPr>
          <w:rFonts w:cs="Arial"/>
          <w:color w:val="auto"/>
          <w:sz w:val="20"/>
          <w:szCs w:val="20"/>
        </w:rPr>
        <w:t>% at 31 December 201</w:t>
      </w:r>
      <w:r w:rsidR="007E697F" w:rsidRPr="007E697F">
        <w:rPr>
          <w:rFonts w:cs="Arial"/>
          <w:color w:val="auto"/>
          <w:sz w:val="20"/>
          <w:szCs w:val="20"/>
        </w:rPr>
        <w:t>8</w:t>
      </w:r>
      <w:r w:rsidRPr="007E697F">
        <w:rPr>
          <w:rFonts w:cs="Arial"/>
          <w:color w:val="auto"/>
          <w:sz w:val="20"/>
          <w:szCs w:val="20"/>
        </w:rPr>
        <w:t xml:space="preserve">, mainly due to </w:t>
      </w:r>
      <w:r w:rsidR="00234236" w:rsidRPr="007E697F">
        <w:rPr>
          <w:rFonts w:cs="Arial"/>
          <w:color w:val="auto"/>
          <w:sz w:val="20"/>
          <w:szCs w:val="20"/>
        </w:rPr>
        <w:t xml:space="preserve">the </w:t>
      </w:r>
      <w:r w:rsidR="007E697F" w:rsidRPr="007E697F">
        <w:rPr>
          <w:rFonts w:cs="Arial"/>
          <w:color w:val="auto"/>
          <w:sz w:val="20"/>
          <w:szCs w:val="20"/>
        </w:rPr>
        <w:t>decrease in</w:t>
      </w:r>
      <w:r w:rsidR="00234236" w:rsidRPr="007E697F">
        <w:rPr>
          <w:rFonts w:cs="Arial"/>
          <w:color w:val="auto"/>
          <w:sz w:val="20"/>
          <w:szCs w:val="20"/>
        </w:rPr>
        <w:t xml:space="preserve"> balance sheet exposures</w:t>
      </w:r>
      <w:r w:rsidRPr="007E697F">
        <w:rPr>
          <w:rFonts w:cs="Arial"/>
          <w:color w:val="auto"/>
          <w:sz w:val="20"/>
          <w:szCs w:val="20"/>
        </w:rPr>
        <w:t>.</w:t>
      </w:r>
    </w:p>
    <w:p w:rsidR="007D4125" w:rsidRPr="003946B9" w:rsidRDefault="007D4125" w:rsidP="0062699F">
      <w:pPr>
        <w:rPr>
          <w:rFonts w:asciiTheme="minorHAnsi" w:hAnsiTheme="minorHAnsi" w:cstheme="minorHAnsi"/>
          <w:color w:val="auto"/>
          <w:sz w:val="44"/>
          <w:szCs w:val="44"/>
        </w:rPr>
      </w:pPr>
    </w:p>
    <w:p w:rsidR="0001398E" w:rsidRPr="00C572DB" w:rsidRDefault="0001398E" w:rsidP="0062699F">
      <w:pPr>
        <w:pStyle w:val="BodyText1"/>
        <w:outlineLvl w:val="1"/>
        <w:rPr>
          <w:color w:val="FF0000"/>
        </w:rPr>
      </w:pPr>
      <w:bookmarkStart w:id="20" w:name="_Toc22895967"/>
      <w:r w:rsidRPr="00BE342A">
        <w:rPr>
          <w:color w:val="FF0000"/>
          <w:sz w:val="24"/>
          <w:szCs w:val="24"/>
        </w:rPr>
        <w:t xml:space="preserve">Table </w:t>
      </w:r>
      <w:r w:rsidR="00C93263">
        <w:rPr>
          <w:color w:val="FF0000"/>
          <w:sz w:val="24"/>
          <w:szCs w:val="24"/>
        </w:rPr>
        <w:t>5</w:t>
      </w:r>
      <w:r w:rsidRPr="00BE342A">
        <w:rPr>
          <w:color w:val="FF0000"/>
          <w:sz w:val="24"/>
          <w:szCs w:val="24"/>
        </w:rPr>
        <w:t xml:space="preserve">: </w:t>
      </w:r>
      <w:r w:rsidR="00296D97" w:rsidRPr="00BE342A">
        <w:rPr>
          <w:color w:val="FF0000"/>
          <w:sz w:val="24"/>
          <w:szCs w:val="24"/>
        </w:rPr>
        <w:t>Summary comparison of accounting assets vs leverage ratio exposure</w:t>
      </w:r>
      <w:r w:rsidR="003431FE" w:rsidRPr="00BE342A">
        <w:rPr>
          <w:color w:val="FF0000"/>
          <w:sz w:val="24"/>
          <w:szCs w:val="24"/>
        </w:rPr>
        <w:t xml:space="preserve"> (LR1)</w:t>
      </w:r>
      <w:bookmarkEnd w:id="20"/>
    </w:p>
    <w:p w:rsidR="0001398E" w:rsidRPr="00747618" w:rsidRDefault="0001398E" w:rsidP="0062699F">
      <w:pPr>
        <w:rPr>
          <w:noProof/>
          <w:lang w:val="en-ZA" w:eastAsia="en-ZA"/>
        </w:rPr>
      </w:pPr>
    </w:p>
    <w:p w:rsidR="00545F60" w:rsidRDefault="004E0477" w:rsidP="0062699F">
      <w:pPr>
        <w:rPr>
          <w:noProof/>
          <w:sz w:val="54"/>
          <w:szCs w:val="54"/>
          <w:lang w:val="en-ZA" w:eastAsia="en-ZA"/>
        </w:rPr>
      </w:pPr>
      <w:r w:rsidRPr="004E0477">
        <w:rPr>
          <w:noProof/>
          <w:lang w:val="en-ZA" w:eastAsia="en-ZA"/>
        </w:rPr>
        <w:drawing>
          <wp:inline distT="0" distB="0" distL="0" distR="0">
            <wp:extent cx="6336665" cy="2163739"/>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665" cy="2163739"/>
                    </a:xfrm>
                    <a:prstGeom prst="rect">
                      <a:avLst/>
                    </a:prstGeom>
                    <a:noFill/>
                    <a:ln>
                      <a:noFill/>
                    </a:ln>
                  </pic:spPr>
                </pic:pic>
              </a:graphicData>
            </a:graphic>
          </wp:inline>
        </w:drawing>
      </w:r>
    </w:p>
    <w:p w:rsidR="0001398E" w:rsidRDefault="0001398E" w:rsidP="0062699F"/>
    <w:p w:rsidR="0001398E" w:rsidRDefault="0001398E" w:rsidP="0062699F"/>
    <w:p w:rsidR="0001398E" w:rsidRDefault="0001398E" w:rsidP="0062699F"/>
    <w:p w:rsidR="0001398E" w:rsidRDefault="0001398E" w:rsidP="0062699F"/>
    <w:p w:rsidR="0001398E" w:rsidRDefault="0001398E" w:rsidP="0062699F">
      <w:r>
        <w:br w:type="page"/>
      </w:r>
    </w:p>
    <w:p w:rsidR="0001398E" w:rsidRDefault="0001398E" w:rsidP="0062699F">
      <w:pPr>
        <w:pStyle w:val="BodyText1"/>
        <w:outlineLvl w:val="1"/>
        <w:rPr>
          <w:color w:val="FF0000"/>
          <w:sz w:val="24"/>
          <w:szCs w:val="24"/>
        </w:rPr>
      </w:pPr>
      <w:bookmarkStart w:id="21" w:name="_Toc22895968"/>
      <w:r w:rsidRPr="00BE342A">
        <w:rPr>
          <w:color w:val="FF0000"/>
          <w:sz w:val="24"/>
          <w:szCs w:val="24"/>
        </w:rPr>
        <w:lastRenderedPageBreak/>
        <w:t xml:space="preserve">Table </w:t>
      </w:r>
      <w:r w:rsidR="00771AD0">
        <w:rPr>
          <w:color w:val="FF0000"/>
          <w:sz w:val="24"/>
          <w:szCs w:val="24"/>
        </w:rPr>
        <w:t>6</w:t>
      </w:r>
      <w:r w:rsidRPr="00BE342A">
        <w:rPr>
          <w:color w:val="FF0000"/>
          <w:sz w:val="24"/>
          <w:szCs w:val="24"/>
        </w:rPr>
        <w:t xml:space="preserve">: </w:t>
      </w:r>
      <w:r w:rsidR="00296D97" w:rsidRPr="00BE342A">
        <w:rPr>
          <w:color w:val="FF0000"/>
          <w:sz w:val="24"/>
          <w:szCs w:val="24"/>
        </w:rPr>
        <w:t>Leverage ratio</w:t>
      </w:r>
      <w:r w:rsidR="003431FE" w:rsidRPr="00BE342A">
        <w:rPr>
          <w:color w:val="FF0000"/>
          <w:sz w:val="24"/>
          <w:szCs w:val="24"/>
        </w:rPr>
        <w:t xml:space="preserve"> (LR2)</w:t>
      </w:r>
      <w:bookmarkEnd w:id="21"/>
    </w:p>
    <w:p w:rsidR="00986D38" w:rsidRPr="00BE342A" w:rsidRDefault="00986D38" w:rsidP="0062699F">
      <w:pPr>
        <w:pStyle w:val="BodyText1"/>
        <w:outlineLvl w:val="1"/>
        <w:rPr>
          <w:color w:val="FF0000"/>
          <w:sz w:val="24"/>
          <w:szCs w:val="24"/>
        </w:rPr>
      </w:pPr>
    </w:p>
    <w:p w:rsidR="00255E21" w:rsidRDefault="00ED65F2" w:rsidP="0062699F">
      <w:pPr>
        <w:rPr>
          <w:rFonts w:eastAsia="Times New Roman"/>
          <w:noProof/>
          <w:color w:val="FF0000"/>
          <w:kern w:val="28"/>
          <w:sz w:val="54"/>
          <w:szCs w:val="54"/>
          <w:lang w:val="en-ZA" w:eastAsia="en-ZA"/>
        </w:rPr>
      </w:pPr>
      <w:r w:rsidRPr="00ED65F2">
        <w:drawing>
          <wp:inline distT="0" distB="0" distL="0" distR="0">
            <wp:extent cx="6336665" cy="5693934"/>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665" cy="5693934"/>
                    </a:xfrm>
                    <a:prstGeom prst="rect">
                      <a:avLst/>
                    </a:prstGeom>
                    <a:noFill/>
                    <a:ln>
                      <a:noFill/>
                    </a:ln>
                  </pic:spPr>
                </pic:pic>
              </a:graphicData>
            </a:graphic>
          </wp:inline>
        </w:drawing>
      </w:r>
      <w:r w:rsidR="00255E21">
        <w:rPr>
          <w:noProof/>
          <w:sz w:val="54"/>
          <w:szCs w:val="54"/>
          <w:lang w:val="en-ZA" w:eastAsia="en-ZA"/>
        </w:rPr>
        <w:br w:type="page"/>
      </w:r>
    </w:p>
    <w:p w:rsidR="00497E35" w:rsidRDefault="00497E35" w:rsidP="0062699F">
      <w:pPr>
        <w:pStyle w:val="BodyText1"/>
        <w:outlineLvl w:val="0"/>
        <w:rPr>
          <w:noProof/>
          <w:color w:val="FF0000"/>
          <w:sz w:val="44"/>
          <w:szCs w:val="44"/>
          <w:lang w:val="en-ZA" w:eastAsia="en-ZA"/>
        </w:rPr>
      </w:pPr>
      <w:bookmarkStart w:id="22" w:name="_Toc22895969"/>
      <w:r w:rsidRPr="00C572DB">
        <w:rPr>
          <w:noProof/>
          <w:color w:val="FF0000"/>
          <w:sz w:val="44"/>
          <w:szCs w:val="44"/>
          <w:lang w:val="en-ZA" w:eastAsia="en-ZA"/>
        </w:rPr>
        <w:lastRenderedPageBreak/>
        <w:t>Liquidity Risk</w:t>
      </w:r>
      <w:bookmarkEnd w:id="18"/>
      <w:bookmarkEnd w:id="22"/>
    </w:p>
    <w:p w:rsidR="00C93263" w:rsidRPr="00747618" w:rsidRDefault="00C93263" w:rsidP="0062699F">
      <w:pPr>
        <w:pStyle w:val="BodyText1"/>
        <w:outlineLvl w:val="0"/>
        <w:rPr>
          <w:noProof/>
          <w:color w:val="FF0000"/>
          <w:sz w:val="24"/>
          <w:szCs w:val="24"/>
          <w:lang w:val="en-ZA" w:eastAsia="en-ZA"/>
        </w:rPr>
      </w:pPr>
    </w:p>
    <w:p w:rsidR="00C93263" w:rsidRPr="00B37A95" w:rsidRDefault="00C93263" w:rsidP="00C93263">
      <w:pPr>
        <w:rPr>
          <w:rFonts w:cs="Arial"/>
          <w:color w:val="auto"/>
          <w:sz w:val="20"/>
          <w:szCs w:val="20"/>
        </w:rPr>
      </w:pPr>
      <w:r w:rsidRPr="00B37A95">
        <w:rPr>
          <w:rFonts w:cs="Arial"/>
          <w:color w:val="auto"/>
          <w:sz w:val="20"/>
          <w:szCs w:val="20"/>
        </w:rPr>
        <w:t xml:space="preserve">Liquidity risk is the risk that HSBC JOH does not have sufficient financial resources to meet its obligations as they fall due, or will have to access such resources at excessive cost. The risk arises from mismatches in the timing of cash flows. HSBC JOH follows the group liquidity framework. </w:t>
      </w:r>
    </w:p>
    <w:p w:rsidR="00C93263" w:rsidRPr="00B37A95" w:rsidRDefault="00C93263" w:rsidP="00C93263">
      <w:pPr>
        <w:rPr>
          <w:rFonts w:cs="Arial"/>
          <w:color w:val="auto"/>
          <w:sz w:val="20"/>
          <w:szCs w:val="20"/>
        </w:rPr>
      </w:pPr>
    </w:p>
    <w:p w:rsidR="00C93263" w:rsidRPr="00B37A95" w:rsidRDefault="00C93263" w:rsidP="00C93263">
      <w:pPr>
        <w:rPr>
          <w:rFonts w:cs="Arial"/>
          <w:color w:val="auto"/>
          <w:sz w:val="20"/>
          <w:szCs w:val="20"/>
        </w:rPr>
      </w:pPr>
      <w:r w:rsidRPr="00B37A95">
        <w:rPr>
          <w:rFonts w:cs="Arial"/>
          <w:color w:val="auto"/>
          <w:sz w:val="20"/>
          <w:szCs w:val="20"/>
        </w:rPr>
        <w:t>The objective of the Group’s internal liquidity and funding risk management framework (‘LFRF’) is to allow it to withstand very severe liquidity stresses and be adaptable to changing business models, markets and regulations.</w:t>
      </w:r>
    </w:p>
    <w:p w:rsidR="00C93263" w:rsidRPr="00B37A95" w:rsidRDefault="00C93263" w:rsidP="00C93263">
      <w:pPr>
        <w:rPr>
          <w:rFonts w:cs="Arial"/>
          <w:color w:val="auto"/>
          <w:sz w:val="20"/>
          <w:szCs w:val="20"/>
        </w:rPr>
      </w:pPr>
    </w:p>
    <w:p w:rsidR="00C93263" w:rsidRDefault="00C93263" w:rsidP="00C93263">
      <w:pPr>
        <w:rPr>
          <w:rFonts w:cs="Arial"/>
          <w:color w:val="auto"/>
          <w:sz w:val="20"/>
          <w:szCs w:val="20"/>
        </w:rPr>
      </w:pPr>
      <w:r w:rsidRPr="00B37A95">
        <w:rPr>
          <w:rFonts w:cs="Arial"/>
          <w:color w:val="auto"/>
          <w:sz w:val="20"/>
          <w:szCs w:val="20"/>
        </w:rPr>
        <w:t xml:space="preserve">Liquidity is not managed through the explicit allocation of capital as, in common with standard industry practice, this is not considered to be an appropriate or adequate mechanism for managing these risks. However, the Bank recognises that a strong capital base can help to mitigate liquidity risk. </w:t>
      </w:r>
    </w:p>
    <w:p w:rsidR="00C93263" w:rsidRPr="00B37A95" w:rsidRDefault="00C93263" w:rsidP="00C93263">
      <w:pPr>
        <w:rPr>
          <w:rFonts w:cs="Arial"/>
          <w:color w:val="auto"/>
          <w:sz w:val="20"/>
          <w:szCs w:val="20"/>
        </w:rPr>
      </w:pPr>
    </w:p>
    <w:p w:rsidR="00C93263" w:rsidRPr="00B37A95" w:rsidRDefault="00C93263" w:rsidP="00C93263">
      <w:pPr>
        <w:rPr>
          <w:rFonts w:cs="Arial"/>
          <w:color w:val="auto"/>
          <w:sz w:val="20"/>
          <w:szCs w:val="20"/>
        </w:rPr>
      </w:pPr>
      <w:r w:rsidRPr="00B37A95">
        <w:rPr>
          <w:rFonts w:cs="Arial"/>
          <w:color w:val="auto"/>
          <w:sz w:val="20"/>
          <w:szCs w:val="20"/>
        </w:rPr>
        <w:t>The primary sources of funding are customer current and savings accounts payable on demand or at short notice.</w:t>
      </w:r>
    </w:p>
    <w:p w:rsidR="00C93263" w:rsidRPr="00B37A95" w:rsidRDefault="00C93263" w:rsidP="00C93263">
      <w:pPr>
        <w:rPr>
          <w:rFonts w:cs="Arial"/>
          <w:color w:val="auto"/>
          <w:sz w:val="20"/>
          <w:szCs w:val="20"/>
        </w:rPr>
      </w:pPr>
    </w:p>
    <w:p w:rsidR="00C93263" w:rsidRPr="00B774B2" w:rsidRDefault="00C93263" w:rsidP="00C93263">
      <w:pPr>
        <w:autoSpaceDE w:val="0"/>
        <w:autoSpaceDN w:val="0"/>
        <w:adjustRightInd w:val="0"/>
        <w:rPr>
          <w:color w:val="auto"/>
          <w:sz w:val="20"/>
          <w:szCs w:val="20"/>
        </w:rPr>
      </w:pPr>
      <w:bookmarkStart w:id="23" w:name="_Toc524694506"/>
      <w:r w:rsidRPr="00B37A95">
        <w:rPr>
          <w:color w:val="auto"/>
          <w:sz w:val="20"/>
          <w:szCs w:val="20"/>
        </w:rPr>
        <w:t>In HSBC JOH, Balance Sheet Management (‘BSM’) is responsible for managing liquidity and funding under the supervision of the local ALCO (which usually meets on a monthly basis</w:t>
      </w:r>
      <w:r>
        <w:rPr>
          <w:color w:val="auto"/>
          <w:sz w:val="20"/>
          <w:szCs w:val="20"/>
        </w:rPr>
        <w:t>)</w:t>
      </w:r>
      <w:r w:rsidRPr="00B37A95">
        <w:rPr>
          <w:color w:val="auto"/>
          <w:sz w:val="20"/>
          <w:szCs w:val="20"/>
        </w:rPr>
        <w:t xml:space="preserve"> In executing the management of the liquidity risk on behalf of ALCO, and managing the interest rate risk in the banking book positions transferred to it, BSM invests in highly rated liquid assets in line with the Group’s liquid asset policy. The majority of the liquidity is invested in central bank deposits, South African Treasury bills and government securities with most of the remainder held in short-term interbank and central bank loans.</w:t>
      </w:r>
      <w:bookmarkEnd w:id="23"/>
      <w:r>
        <w:rPr>
          <w:color w:val="auto"/>
          <w:sz w:val="20"/>
          <w:szCs w:val="20"/>
        </w:rPr>
        <w:t xml:space="preserve"> </w:t>
      </w:r>
      <w:r w:rsidRPr="00B774B2">
        <w:rPr>
          <w:color w:val="auto"/>
          <w:sz w:val="20"/>
          <w:szCs w:val="20"/>
        </w:rPr>
        <w:t xml:space="preserve">Further details are provided on page 80 of the </w:t>
      </w:r>
      <w:r w:rsidRPr="00B774B2">
        <w:rPr>
          <w:i/>
          <w:color w:val="auto"/>
          <w:sz w:val="20"/>
          <w:szCs w:val="20"/>
        </w:rPr>
        <w:t>HSBC Holdings plc Annual Report and Accounts 2018.</w:t>
      </w:r>
    </w:p>
    <w:p w:rsidR="00497E35" w:rsidRPr="00E37630" w:rsidRDefault="00497E35" w:rsidP="0062699F">
      <w:pPr>
        <w:rPr>
          <w:b/>
          <w:sz w:val="22"/>
          <w:szCs w:val="22"/>
        </w:rPr>
      </w:pPr>
    </w:p>
    <w:p w:rsidR="00C93263" w:rsidRDefault="00C93263">
      <w:pPr>
        <w:rPr>
          <w:rFonts w:cs="Arial"/>
          <w:color w:val="FF0000"/>
        </w:rPr>
      </w:pPr>
      <w:r>
        <w:rPr>
          <w:color w:val="FF0000"/>
        </w:rPr>
        <w:br w:type="page"/>
      </w:r>
    </w:p>
    <w:p w:rsidR="00C93263" w:rsidRDefault="00296D97" w:rsidP="00C93263">
      <w:pPr>
        <w:pStyle w:val="BodyText1"/>
        <w:outlineLvl w:val="1"/>
        <w:rPr>
          <w:color w:val="FF0000"/>
          <w:sz w:val="24"/>
          <w:szCs w:val="24"/>
        </w:rPr>
      </w:pPr>
      <w:bookmarkStart w:id="24" w:name="_Toc22895970"/>
      <w:r w:rsidRPr="00BE342A">
        <w:rPr>
          <w:color w:val="FF0000"/>
          <w:sz w:val="24"/>
          <w:szCs w:val="24"/>
        </w:rPr>
        <w:lastRenderedPageBreak/>
        <w:t xml:space="preserve">Table </w:t>
      </w:r>
      <w:r w:rsidR="00771AD0">
        <w:rPr>
          <w:color w:val="FF0000"/>
          <w:sz w:val="24"/>
          <w:szCs w:val="24"/>
        </w:rPr>
        <w:t>7</w:t>
      </w:r>
      <w:r w:rsidRPr="00BE342A">
        <w:rPr>
          <w:color w:val="FF0000"/>
          <w:sz w:val="24"/>
          <w:szCs w:val="24"/>
        </w:rPr>
        <w:t>: Liquidity coverage ratio</w:t>
      </w:r>
      <w:r w:rsidR="001D2719" w:rsidRPr="00BE342A">
        <w:rPr>
          <w:color w:val="FF0000"/>
          <w:sz w:val="24"/>
          <w:szCs w:val="24"/>
        </w:rPr>
        <w:t xml:space="preserve"> (LIQ1)</w:t>
      </w:r>
      <w:bookmarkEnd w:id="24"/>
    </w:p>
    <w:p w:rsidR="002A13D8" w:rsidRPr="00747618" w:rsidRDefault="002A13D8" w:rsidP="002A13D8">
      <w:pPr>
        <w:pStyle w:val="BodyText1"/>
        <w:rPr>
          <w:sz w:val="24"/>
          <w:szCs w:val="24"/>
        </w:rPr>
      </w:pPr>
    </w:p>
    <w:p w:rsidR="002A13D8" w:rsidRDefault="002A13D8" w:rsidP="002A13D8">
      <w:pPr>
        <w:pStyle w:val="BodyText1"/>
      </w:pPr>
      <w:r w:rsidRPr="002A13D8">
        <w:rPr>
          <w:noProof/>
          <w:lang w:val="en-ZA" w:eastAsia="en-ZA"/>
        </w:rPr>
        <w:drawing>
          <wp:inline distT="0" distB="0" distL="0" distR="0">
            <wp:extent cx="6336665" cy="5261550"/>
            <wp:effectExtent l="0" t="0" r="698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6665" cy="5261550"/>
                    </a:xfrm>
                    <a:prstGeom prst="rect">
                      <a:avLst/>
                    </a:prstGeom>
                    <a:noFill/>
                    <a:ln>
                      <a:noFill/>
                    </a:ln>
                  </pic:spPr>
                </pic:pic>
              </a:graphicData>
            </a:graphic>
          </wp:inline>
        </w:drawing>
      </w:r>
    </w:p>
    <w:p w:rsidR="00296D97" w:rsidRDefault="00296D97" w:rsidP="002A13D8">
      <w:pPr>
        <w:pStyle w:val="BodyText1"/>
        <w:rPr>
          <w:color w:val="FF0000"/>
        </w:rPr>
      </w:pPr>
      <w:r>
        <w:rPr>
          <w:bCs/>
          <w:color w:val="FF0000"/>
        </w:rPr>
        <w:br w:type="page"/>
      </w:r>
    </w:p>
    <w:p w:rsidR="00717122" w:rsidRDefault="00296D97" w:rsidP="00C93263">
      <w:pPr>
        <w:pStyle w:val="BodyText1"/>
        <w:outlineLvl w:val="1"/>
        <w:rPr>
          <w:color w:val="FF0000"/>
          <w:sz w:val="24"/>
          <w:szCs w:val="24"/>
        </w:rPr>
      </w:pPr>
      <w:bookmarkStart w:id="25" w:name="_Toc22895971"/>
      <w:r w:rsidRPr="00FD6F60">
        <w:rPr>
          <w:color w:val="FF0000"/>
          <w:sz w:val="24"/>
          <w:szCs w:val="24"/>
        </w:rPr>
        <w:lastRenderedPageBreak/>
        <w:t xml:space="preserve">Table </w:t>
      </w:r>
      <w:r w:rsidR="00771AD0">
        <w:rPr>
          <w:color w:val="FF0000"/>
          <w:sz w:val="24"/>
          <w:szCs w:val="24"/>
        </w:rPr>
        <w:t>8</w:t>
      </w:r>
      <w:r w:rsidR="00064315" w:rsidRPr="00FD6F60">
        <w:rPr>
          <w:color w:val="FF0000"/>
          <w:sz w:val="24"/>
          <w:szCs w:val="24"/>
        </w:rPr>
        <w:t>: Net</w:t>
      </w:r>
      <w:r w:rsidRPr="00FD6F60">
        <w:rPr>
          <w:color w:val="FF0000"/>
          <w:sz w:val="24"/>
          <w:szCs w:val="24"/>
        </w:rPr>
        <w:t xml:space="preserve"> stable ratio funding (NSFR)</w:t>
      </w:r>
      <w:bookmarkEnd w:id="25"/>
      <w:r w:rsidR="00254DD3" w:rsidRPr="00FD6F60">
        <w:rPr>
          <w:color w:val="FF0000"/>
          <w:sz w:val="24"/>
          <w:szCs w:val="24"/>
        </w:rPr>
        <w:t xml:space="preserve"> </w:t>
      </w:r>
    </w:p>
    <w:p w:rsidR="00A615AF" w:rsidRDefault="00ED65F2">
      <w:pPr>
        <w:rPr>
          <w:rFonts w:cs="Arial"/>
          <w:noProof/>
          <w:color w:val="FF0000"/>
          <w:sz w:val="44"/>
          <w:szCs w:val="44"/>
          <w:lang w:val="en-ZA" w:eastAsia="en-ZA"/>
        </w:rPr>
      </w:pPr>
      <w:r w:rsidRPr="00ED65F2">
        <w:drawing>
          <wp:inline distT="0" distB="0" distL="0" distR="0">
            <wp:extent cx="6336030" cy="82010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4314" cy="8211748"/>
                    </a:xfrm>
                    <a:prstGeom prst="rect">
                      <a:avLst/>
                    </a:prstGeom>
                    <a:noFill/>
                    <a:ln>
                      <a:noFill/>
                    </a:ln>
                  </pic:spPr>
                </pic:pic>
              </a:graphicData>
            </a:graphic>
          </wp:inline>
        </w:drawing>
      </w:r>
    </w:p>
    <w:p w:rsidR="003D6290" w:rsidRPr="00C93263" w:rsidRDefault="003D6290" w:rsidP="00C93263">
      <w:pPr>
        <w:pStyle w:val="BodyText1"/>
        <w:outlineLvl w:val="1"/>
      </w:pPr>
      <w:bookmarkStart w:id="26" w:name="_Toc22895972"/>
      <w:r w:rsidRPr="00C572DB">
        <w:rPr>
          <w:noProof/>
          <w:color w:val="FF0000"/>
          <w:sz w:val="44"/>
          <w:szCs w:val="44"/>
          <w:lang w:val="en-ZA" w:eastAsia="en-ZA"/>
        </w:rPr>
        <w:lastRenderedPageBreak/>
        <w:t>Credit risk</w:t>
      </w:r>
      <w:bookmarkEnd w:id="13"/>
      <w:bookmarkEnd w:id="26"/>
    </w:p>
    <w:p w:rsidR="00811627" w:rsidRPr="00747618" w:rsidRDefault="00811627" w:rsidP="0062699F">
      <w:pPr>
        <w:rPr>
          <w:rFonts w:eastAsiaTheme="minorHAnsi" w:cs="Arial"/>
          <w:lang w:val="en-ZA"/>
        </w:rPr>
      </w:pPr>
    </w:p>
    <w:p w:rsidR="00811627" w:rsidRPr="00BB5358" w:rsidRDefault="00811627" w:rsidP="00811627">
      <w:pPr>
        <w:autoSpaceDE w:val="0"/>
        <w:autoSpaceDN w:val="0"/>
        <w:adjustRightInd w:val="0"/>
        <w:rPr>
          <w:rFonts w:cs="Arial"/>
          <w:color w:val="auto"/>
          <w:sz w:val="20"/>
          <w:szCs w:val="20"/>
        </w:rPr>
      </w:pPr>
      <w:r w:rsidRPr="00BB5358">
        <w:rPr>
          <w:rFonts w:cs="Arial"/>
          <w:color w:val="auto"/>
          <w:sz w:val="20"/>
          <w:szCs w:val="20"/>
        </w:rPr>
        <w:t xml:space="preserve">Credit risk is the risk of financial loss if a customer or counterparty fails to meet an obligation under a contract. Credit risk represents our largest regulatory capital requirement.There have been no material changes to our policies and practices,which are described in the Pillar 3 Disclosures at 31 December 2018. </w:t>
      </w:r>
    </w:p>
    <w:p w:rsidR="00811627" w:rsidRPr="00747618" w:rsidRDefault="00811627" w:rsidP="0062699F">
      <w:pPr>
        <w:rPr>
          <w:rFonts w:eastAsiaTheme="minorHAnsi" w:cs="Arial"/>
          <w:lang w:val="en-ZA"/>
        </w:rPr>
      </w:pPr>
    </w:p>
    <w:p w:rsidR="00064315" w:rsidRPr="00BE342A" w:rsidRDefault="001D2719" w:rsidP="0062699F">
      <w:pPr>
        <w:pStyle w:val="BodyText1"/>
        <w:outlineLvl w:val="1"/>
        <w:rPr>
          <w:color w:val="FF0000"/>
          <w:sz w:val="24"/>
          <w:szCs w:val="24"/>
        </w:rPr>
      </w:pPr>
      <w:bookmarkStart w:id="27" w:name="_Toc22895973"/>
      <w:r w:rsidRPr="00BE342A">
        <w:rPr>
          <w:color w:val="FF0000"/>
          <w:sz w:val="24"/>
          <w:szCs w:val="24"/>
        </w:rPr>
        <w:t xml:space="preserve">Table </w:t>
      </w:r>
      <w:r w:rsidR="00771AD0">
        <w:rPr>
          <w:color w:val="FF0000"/>
          <w:sz w:val="24"/>
          <w:szCs w:val="24"/>
        </w:rPr>
        <w:t>9</w:t>
      </w:r>
      <w:r w:rsidR="00064315" w:rsidRPr="00BE342A">
        <w:rPr>
          <w:color w:val="FF0000"/>
          <w:sz w:val="24"/>
          <w:szCs w:val="24"/>
        </w:rPr>
        <w:t>: Credit quality of assets</w:t>
      </w:r>
      <w:r w:rsidR="00E14150" w:rsidRPr="00BE342A">
        <w:rPr>
          <w:color w:val="FF0000"/>
          <w:sz w:val="24"/>
          <w:szCs w:val="24"/>
        </w:rPr>
        <w:t xml:space="preserve"> (CR1)</w:t>
      </w:r>
      <w:bookmarkEnd w:id="27"/>
    </w:p>
    <w:p w:rsidR="00064315" w:rsidRPr="00BE342A" w:rsidRDefault="00064315" w:rsidP="0062699F">
      <w:pPr>
        <w:pStyle w:val="BodyText1"/>
        <w:outlineLvl w:val="1"/>
        <w:rPr>
          <w:color w:val="FF0000"/>
          <w:sz w:val="24"/>
          <w:szCs w:val="24"/>
        </w:rPr>
      </w:pPr>
    </w:p>
    <w:p w:rsidR="00064315" w:rsidRPr="00064315" w:rsidRDefault="00811627" w:rsidP="0062699F">
      <w:pPr>
        <w:rPr>
          <w:color w:val="FF0000"/>
        </w:rPr>
      </w:pPr>
      <w:r w:rsidRPr="00811627">
        <w:rPr>
          <w:noProof/>
          <w:lang w:val="en-ZA" w:eastAsia="en-ZA"/>
        </w:rPr>
        <w:drawing>
          <wp:inline distT="0" distB="0" distL="0" distR="0">
            <wp:extent cx="6336665" cy="1265721"/>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665" cy="1265721"/>
                    </a:xfrm>
                    <a:prstGeom prst="rect">
                      <a:avLst/>
                    </a:prstGeom>
                    <a:noFill/>
                    <a:ln>
                      <a:noFill/>
                    </a:ln>
                  </pic:spPr>
                </pic:pic>
              </a:graphicData>
            </a:graphic>
          </wp:inline>
        </w:drawing>
      </w:r>
    </w:p>
    <w:p w:rsidR="00E14150" w:rsidRDefault="00253B4C" w:rsidP="0062699F">
      <w:r w:rsidRPr="00253B4C">
        <w:t xml:space="preserve"> </w:t>
      </w:r>
      <w:bookmarkStart w:id="28" w:name="_Toc517438024"/>
      <w:bookmarkStart w:id="29" w:name="_Toc524694496"/>
    </w:p>
    <w:p w:rsidR="00E14150" w:rsidRDefault="00E14150" w:rsidP="0062699F"/>
    <w:p w:rsidR="00253B4C" w:rsidRPr="00BE342A" w:rsidRDefault="001D2719" w:rsidP="0062699F">
      <w:pPr>
        <w:pStyle w:val="BodyText1"/>
        <w:outlineLvl w:val="1"/>
        <w:rPr>
          <w:color w:val="FF0000"/>
          <w:sz w:val="24"/>
          <w:szCs w:val="24"/>
        </w:rPr>
      </w:pPr>
      <w:bookmarkStart w:id="30" w:name="_Toc22895974"/>
      <w:r w:rsidRPr="00BE342A">
        <w:rPr>
          <w:color w:val="FF0000"/>
          <w:sz w:val="24"/>
          <w:szCs w:val="24"/>
        </w:rPr>
        <w:t xml:space="preserve">Table </w:t>
      </w:r>
      <w:r w:rsidR="00A56E17" w:rsidRPr="00BE342A">
        <w:rPr>
          <w:color w:val="FF0000"/>
          <w:sz w:val="24"/>
          <w:szCs w:val="24"/>
        </w:rPr>
        <w:t>1</w:t>
      </w:r>
      <w:r w:rsidR="00771AD0">
        <w:rPr>
          <w:color w:val="FF0000"/>
          <w:sz w:val="24"/>
          <w:szCs w:val="24"/>
        </w:rPr>
        <w:t>0</w:t>
      </w:r>
      <w:r w:rsidR="00253B4C" w:rsidRPr="00BE342A">
        <w:rPr>
          <w:color w:val="FF0000"/>
          <w:sz w:val="24"/>
          <w:szCs w:val="24"/>
        </w:rPr>
        <w:t>: Changes in stock of defaulted loans and debt securities</w:t>
      </w:r>
      <w:r w:rsidR="00E14150" w:rsidRPr="00BE342A">
        <w:rPr>
          <w:color w:val="FF0000"/>
          <w:sz w:val="24"/>
          <w:szCs w:val="24"/>
        </w:rPr>
        <w:t xml:space="preserve"> (CR2)</w:t>
      </w:r>
      <w:bookmarkEnd w:id="30"/>
    </w:p>
    <w:p w:rsidR="00E14150" w:rsidRPr="00E14150" w:rsidRDefault="00E14150" w:rsidP="0062699F">
      <w:pPr>
        <w:rPr>
          <w:color w:val="FF0000"/>
        </w:rPr>
      </w:pPr>
    </w:p>
    <w:p w:rsidR="00253B4C" w:rsidRDefault="00811627" w:rsidP="0062699F">
      <w:pPr>
        <w:rPr>
          <w:b/>
          <w:bCs/>
          <w:color w:val="auto"/>
          <w:sz w:val="20"/>
          <w:szCs w:val="20"/>
        </w:rPr>
      </w:pPr>
      <w:r w:rsidRPr="00811627">
        <w:rPr>
          <w:noProof/>
          <w:lang w:val="en-ZA" w:eastAsia="en-ZA"/>
        </w:rPr>
        <w:drawing>
          <wp:inline distT="0" distB="0" distL="0" distR="0">
            <wp:extent cx="6336665" cy="1515107"/>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665" cy="1515107"/>
                    </a:xfrm>
                    <a:prstGeom prst="rect">
                      <a:avLst/>
                    </a:prstGeom>
                    <a:noFill/>
                    <a:ln>
                      <a:noFill/>
                    </a:ln>
                  </pic:spPr>
                </pic:pic>
              </a:graphicData>
            </a:graphic>
          </wp:inline>
        </w:drawing>
      </w:r>
    </w:p>
    <w:p w:rsidR="005724F5" w:rsidRPr="00747618" w:rsidRDefault="005724F5" w:rsidP="0062699F">
      <w:pPr>
        <w:rPr>
          <w:rFonts w:ascii="Univers-Light-Normal" w:hAnsi="Univers-Light-Normal" w:cs="Univers-Light-Normal"/>
          <w:color w:val="1D1D1B"/>
          <w:lang w:val="en-ZA" w:eastAsia="en-GB"/>
        </w:rPr>
      </w:pPr>
    </w:p>
    <w:p w:rsidR="00A56E17" w:rsidRDefault="00A56E17" w:rsidP="0062699F">
      <w:pPr>
        <w:rPr>
          <w:color w:val="FF0000"/>
        </w:rPr>
      </w:pPr>
      <w:bookmarkStart w:id="31" w:name="_Toc517438030"/>
      <w:bookmarkStart w:id="32" w:name="_Toc524694502"/>
      <w:bookmarkEnd w:id="28"/>
      <w:bookmarkEnd w:id="29"/>
    </w:p>
    <w:p w:rsidR="0035561D" w:rsidRDefault="00A56E17" w:rsidP="0062699F">
      <w:pPr>
        <w:pStyle w:val="BodyText1"/>
        <w:outlineLvl w:val="1"/>
        <w:rPr>
          <w:color w:val="FF0000"/>
          <w:sz w:val="24"/>
          <w:szCs w:val="24"/>
        </w:rPr>
      </w:pPr>
      <w:bookmarkStart w:id="33" w:name="_Toc22895975"/>
      <w:r w:rsidRPr="00BE342A">
        <w:rPr>
          <w:color w:val="FF0000"/>
          <w:sz w:val="24"/>
          <w:szCs w:val="24"/>
        </w:rPr>
        <w:t>Table 1</w:t>
      </w:r>
      <w:r w:rsidR="00771AD0">
        <w:rPr>
          <w:color w:val="FF0000"/>
          <w:sz w:val="24"/>
          <w:szCs w:val="24"/>
        </w:rPr>
        <w:t>1</w:t>
      </w:r>
      <w:r w:rsidR="0035561D" w:rsidRPr="00BE342A">
        <w:rPr>
          <w:color w:val="FF0000"/>
          <w:sz w:val="24"/>
          <w:szCs w:val="24"/>
        </w:rPr>
        <w:t>: Credit risk mitigation techniques – overview (CR3)</w:t>
      </w:r>
      <w:bookmarkEnd w:id="33"/>
    </w:p>
    <w:p w:rsidR="00F473D2" w:rsidRPr="00BE342A" w:rsidRDefault="00F473D2" w:rsidP="0062699F">
      <w:pPr>
        <w:pStyle w:val="BodyText1"/>
        <w:outlineLvl w:val="1"/>
        <w:rPr>
          <w:color w:val="FF0000"/>
          <w:sz w:val="24"/>
          <w:szCs w:val="24"/>
        </w:rPr>
      </w:pPr>
    </w:p>
    <w:p w:rsidR="0035561D" w:rsidRDefault="004E0477" w:rsidP="0062699F">
      <w:pPr>
        <w:rPr>
          <w:bCs/>
          <w:color w:val="FF0000"/>
        </w:rPr>
      </w:pPr>
      <w:r w:rsidRPr="004E0477">
        <w:rPr>
          <w:noProof/>
          <w:lang w:val="en-ZA" w:eastAsia="en-ZA"/>
        </w:rPr>
        <w:drawing>
          <wp:inline distT="0" distB="0" distL="0" distR="0">
            <wp:extent cx="6336665" cy="1869029"/>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665" cy="1869029"/>
                    </a:xfrm>
                    <a:prstGeom prst="rect">
                      <a:avLst/>
                    </a:prstGeom>
                    <a:noFill/>
                    <a:ln>
                      <a:noFill/>
                    </a:ln>
                  </pic:spPr>
                </pic:pic>
              </a:graphicData>
            </a:graphic>
          </wp:inline>
        </w:drawing>
      </w:r>
    </w:p>
    <w:p w:rsidR="00BB5358" w:rsidRDefault="00BB5358">
      <w:pPr>
        <w:rPr>
          <w:rFonts w:cs="Arial"/>
          <w:color w:val="FF0000"/>
        </w:rPr>
      </w:pPr>
      <w:bookmarkStart w:id="34" w:name="_Toc22895976"/>
      <w:r>
        <w:rPr>
          <w:color w:val="FF0000"/>
        </w:rPr>
        <w:br w:type="page"/>
      </w:r>
    </w:p>
    <w:p w:rsidR="00243CD2" w:rsidRDefault="00243CD2" w:rsidP="0062699F">
      <w:pPr>
        <w:pStyle w:val="BodyText1"/>
        <w:outlineLvl w:val="1"/>
        <w:rPr>
          <w:color w:val="FF0000"/>
          <w:sz w:val="24"/>
          <w:szCs w:val="24"/>
        </w:rPr>
      </w:pPr>
      <w:r w:rsidRPr="00BE342A">
        <w:rPr>
          <w:color w:val="FF0000"/>
          <w:sz w:val="24"/>
          <w:szCs w:val="24"/>
        </w:rPr>
        <w:lastRenderedPageBreak/>
        <w:t xml:space="preserve">Table </w:t>
      </w:r>
      <w:r w:rsidR="00771AD0">
        <w:rPr>
          <w:color w:val="FF0000"/>
          <w:sz w:val="24"/>
          <w:szCs w:val="24"/>
        </w:rPr>
        <w:t>12</w:t>
      </w:r>
      <w:r w:rsidRPr="00BE342A">
        <w:rPr>
          <w:color w:val="FF0000"/>
          <w:sz w:val="24"/>
          <w:szCs w:val="24"/>
        </w:rPr>
        <w:t>: Credit risk exposure and Credit Risk Mitigation (CRM) effects (CR4)</w:t>
      </w:r>
      <w:bookmarkEnd w:id="34"/>
    </w:p>
    <w:p w:rsidR="00A42289" w:rsidRDefault="00A42289" w:rsidP="0062699F">
      <w:pPr>
        <w:pStyle w:val="BodyText1"/>
        <w:outlineLvl w:val="1"/>
        <w:rPr>
          <w:color w:val="FF0000"/>
          <w:sz w:val="24"/>
          <w:szCs w:val="24"/>
        </w:rPr>
      </w:pPr>
    </w:p>
    <w:p w:rsidR="00243CD2" w:rsidRDefault="00DE7AFF" w:rsidP="0062699F">
      <w:pPr>
        <w:rPr>
          <w:bCs/>
          <w:color w:val="FF0000"/>
        </w:rPr>
      </w:pPr>
      <w:r w:rsidRPr="00DE7AFF">
        <w:rPr>
          <w:noProof/>
          <w:lang w:val="en-ZA" w:eastAsia="en-ZA"/>
        </w:rPr>
        <w:drawing>
          <wp:inline distT="0" distB="0" distL="0" distR="0">
            <wp:extent cx="6336665" cy="3730389"/>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665" cy="3730389"/>
                    </a:xfrm>
                    <a:prstGeom prst="rect">
                      <a:avLst/>
                    </a:prstGeom>
                    <a:noFill/>
                    <a:ln>
                      <a:noFill/>
                    </a:ln>
                  </pic:spPr>
                </pic:pic>
              </a:graphicData>
            </a:graphic>
          </wp:inline>
        </w:drawing>
      </w:r>
    </w:p>
    <w:p w:rsidR="00A42289" w:rsidRDefault="00A42289" w:rsidP="0062699F">
      <w:pPr>
        <w:rPr>
          <w:bCs/>
          <w:color w:val="FF0000"/>
        </w:rPr>
      </w:pPr>
    </w:p>
    <w:p w:rsidR="00A42289" w:rsidRDefault="00A42289" w:rsidP="0062699F">
      <w:pPr>
        <w:rPr>
          <w:color w:val="FF0000"/>
        </w:rPr>
      </w:pPr>
      <w:r>
        <w:rPr>
          <w:color w:val="FF0000"/>
        </w:rPr>
        <w:br w:type="page"/>
      </w:r>
    </w:p>
    <w:p w:rsidR="00243CD2" w:rsidRPr="00427C44" w:rsidRDefault="00243CD2" w:rsidP="0062699F">
      <w:pPr>
        <w:pStyle w:val="BodyText1"/>
        <w:outlineLvl w:val="1"/>
        <w:rPr>
          <w:color w:val="FF0000"/>
          <w:sz w:val="24"/>
          <w:szCs w:val="24"/>
        </w:rPr>
      </w:pPr>
      <w:bookmarkStart w:id="35" w:name="_Toc22895977"/>
      <w:r w:rsidRPr="00427C44">
        <w:rPr>
          <w:color w:val="FF0000"/>
          <w:sz w:val="24"/>
          <w:szCs w:val="24"/>
        </w:rPr>
        <w:lastRenderedPageBreak/>
        <w:t xml:space="preserve">Table </w:t>
      </w:r>
      <w:r w:rsidR="00771AD0">
        <w:rPr>
          <w:color w:val="FF0000"/>
          <w:sz w:val="24"/>
          <w:szCs w:val="24"/>
        </w:rPr>
        <w:t>13</w:t>
      </w:r>
      <w:r w:rsidRPr="00427C44">
        <w:rPr>
          <w:color w:val="FF0000"/>
          <w:sz w:val="24"/>
          <w:szCs w:val="24"/>
        </w:rPr>
        <w:t>: Standardised approach - exposures by asset classes and risk weights (CR5)</w:t>
      </w:r>
      <w:bookmarkEnd w:id="35"/>
    </w:p>
    <w:p w:rsidR="006C1BB5" w:rsidRPr="00BE342A" w:rsidRDefault="006C1BB5" w:rsidP="0062699F">
      <w:pPr>
        <w:rPr>
          <w:color w:val="FF0000"/>
        </w:rPr>
      </w:pPr>
    </w:p>
    <w:p w:rsidR="00243CD2" w:rsidRPr="00253B4C" w:rsidRDefault="00243CD2" w:rsidP="0062699F">
      <w:pPr>
        <w:rPr>
          <w:bCs/>
          <w:color w:val="FF0000"/>
        </w:rPr>
      </w:pPr>
    </w:p>
    <w:p w:rsidR="006B7E58" w:rsidRDefault="00DE7AFF" w:rsidP="0062699F">
      <w:pPr>
        <w:rPr>
          <w:rFonts w:eastAsiaTheme="minorHAnsi" w:cs="Arial"/>
          <w:sz w:val="20"/>
          <w:szCs w:val="20"/>
          <w:lang w:val="en-ZA"/>
        </w:rPr>
      </w:pPr>
      <w:r w:rsidRPr="00DE7AFF">
        <w:rPr>
          <w:noProof/>
          <w:lang w:val="en-ZA" w:eastAsia="en-ZA"/>
        </w:rPr>
        <w:drawing>
          <wp:inline distT="0" distB="0" distL="0" distR="0">
            <wp:extent cx="6336665" cy="394716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6665" cy="3947163"/>
                    </a:xfrm>
                    <a:prstGeom prst="rect">
                      <a:avLst/>
                    </a:prstGeom>
                    <a:noFill/>
                    <a:ln>
                      <a:noFill/>
                    </a:ln>
                  </pic:spPr>
                </pic:pic>
              </a:graphicData>
            </a:graphic>
          </wp:inline>
        </w:drawing>
      </w:r>
    </w:p>
    <w:p w:rsidR="00A42289" w:rsidRDefault="00A42289" w:rsidP="0062699F">
      <w:pPr>
        <w:rPr>
          <w:noProof/>
          <w:color w:val="FF0000"/>
          <w:sz w:val="44"/>
          <w:szCs w:val="44"/>
          <w:lang w:val="en-ZA" w:eastAsia="en-ZA"/>
        </w:rPr>
      </w:pPr>
    </w:p>
    <w:p w:rsidR="00BC16F1" w:rsidRPr="00C572DB" w:rsidRDefault="00094EC5" w:rsidP="0062699F">
      <w:pPr>
        <w:rPr>
          <w:noProof/>
          <w:color w:val="FF0000"/>
          <w:sz w:val="44"/>
          <w:szCs w:val="44"/>
          <w:lang w:val="en-ZA" w:eastAsia="en-ZA"/>
        </w:rPr>
      </w:pPr>
      <w:r>
        <w:rPr>
          <w:noProof/>
          <w:color w:val="FF0000"/>
          <w:sz w:val="44"/>
          <w:szCs w:val="44"/>
          <w:lang w:val="en-ZA" w:eastAsia="en-ZA"/>
        </w:rPr>
        <w:br w:type="page"/>
      </w:r>
      <w:r w:rsidR="00BC16F1" w:rsidRPr="00C572DB">
        <w:rPr>
          <w:noProof/>
          <w:color w:val="FF0000"/>
          <w:sz w:val="44"/>
          <w:szCs w:val="44"/>
          <w:lang w:val="en-ZA" w:eastAsia="en-ZA"/>
        </w:rPr>
        <w:lastRenderedPageBreak/>
        <w:t>Counterparty credit risk</w:t>
      </w:r>
      <w:bookmarkEnd w:id="31"/>
      <w:bookmarkEnd w:id="32"/>
    </w:p>
    <w:p w:rsidR="00F473D2" w:rsidRPr="00747618" w:rsidRDefault="00F473D2" w:rsidP="0062699F">
      <w:pPr>
        <w:rPr>
          <w:color w:val="FF0000"/>
        </w:rPr>
      </w:pPr>
      <w:bookmarkStart w:id="36" w:name="_Toc517438031"/>
    </w:p>
    <w:bookmarkEnd w:id="36"/>
    <w:p w:rsidR="00335434" w:rsidRPr="00335434" w:rsidRDefault="00335434" w:rsidP="0062699F">
      <w:pPr>
        <w:rPr>
          <w:rFonts w:eastAsiaTheme="minorHAnsi" w:cs="Arial"/>
          <w:sz w:val="20"/>
          <w:szCs w:val="20"/>
          <w:lang w:val="en-ZA" w:eastAsia="en-US"/>
        </w:rPr>
      </w:pPr>
      <w:r w:rsidRPr="00335434">
        <w:rPr>
          <w:rFonts w:eastAsiaTheme="minorHAnsi" w:cs="Arial"/>
          <w:sz w:val="20"/>
          <w:szCs w:val="20"/>
          <w:lang w:val="en-ZA"/>
        </w:rPr>
        <w:t xml:space="preserve">Counterparty Credit Risk (‘CCR’) risk arises from derivatives and </w:t>
      </w:r>
      <w:r w:rsidR="00AA256A">
        <w:rPr>
          <w:rFonts w:eastAsiaTheme="minorHAnsi" w:cs="Arial"/>
          <w:sz w:val="20"/>
          <w:szCs w:val="20"/>
          <w:lang w:val="en-ZA"/>
        </w:rPr>
        <w:t>Security Financing Transactions (‘</w:t>
      </w:r>
      <w:r w:rsidRPr="00335434">
        <w:rPr>
          <w:rFonts w:eastAsiaTheme="minorHAnsi" w:cs="Arial"/>
          <w:sz w:val="20"/>
          <w:szCs w:val="20"/>
          <w:lang w:val="en-ZA"/>
        </w:rPr>
        <w:t>SFTs</w:t>
      </w:r>
      <w:r w:rsidR="00AA256A">
        <w:rPr>
          <w:rFonts w:eastAsiaTheme="minorHAnsi" w:cs="Arial"/>
          <w:sz w:val="20"/>
          <w:szCs w:val="20"/>
          <w:lang w:val="en-ZA"/>
        </w:rPr>
        <w:t>’)</w:t>
      </w:r>
      <w:r w:rsidRPr="00335434">
        <w:rPr>
          <w:rFonts w:eastAsiaTheme="minorHAnsi" w:cs="Arial"/>
          <w:sz w:val="20"/>
          <w:szCs w:val="20"/>
          <w:lang w:val="en-ZA"/>
        </w:rPr>
        <w:t>. It is calculated in both the trading and non-trading books, and is the risk that a counterparty may default before settlement of the transaction.</w:t>
      </w:r>
    </w:p>
    <w:p w:rsidR="00335434" w:rsidRPr="00335434" w:rsidRDefault="00335434" w:rsidP="0062699F">
      <w:pPr>
        <w:rPr>
          <w:rFonts w:eastAsiaTheme="minorHAnsi" w:cs="Arial"/>
          <w:bCs/>
          <w:sz w:val="20"/>
          <w:szCs w:val="20"/>
          <w:lang w:val="en-ZA"/>
        </w:rPr>
      </w:pPr>
    </w:p>
    <w:p w:rsidR="00335434" w:rsidRPr="00335434" w:rsidRDefault="00335434" w:rsidP="0062699F">
      <w:pPr>
        <w:rPr>
          <w:rFonts w:eastAsiaTheme="minorHAnsi" w:cs="Arial"/>
          <w:sz w:val="20"/>
          <w:szCs w:val="20"/>
          <w:lang w:val="en-ZA"/>
        </w:rPr>
      </w:pPr>
      <w:r w:rsidRPr="00335434">
        <w:rPr>
          <w:rFonts w:eastAsiaTheme="minorHAnsi" w:cs="Arial"/>
          <w:sz w:val="20"/>
          <w:szCs w:val="20"/>
          <w:lang w:val="en-ZA"/>
        </w:rPr>
        <w:t xml:space="preserve">Three approaches may be used to calculate exposure values for CCR: </w:t>
      </w:r>
      <w:r w:rsidR="00AA256A">
        <w:rPr>
          <w:rFonts w:eastAsiaTheme="minorHAnsi" w:cs="Arial"/>
          <w:sz w:val="20"/>
          <w:szCs w:val="20"/>
          <w:lang w:val="en-ZA"/>
        </w:rPr>
        <w:t>Current Exposure Methods (‘</w:t>
      </w:r>
      <w:r w:rsidRPr="00335434">
        <w:rPr>
          <w:rFonts w:eastAsiaTheme="minorHAnsi" w:cs="Arial"/>
          <w:sz w:val="20"/>
          <w:szCs w:val="20"/>
          <w:lang w:val="en-ZA"/>
        </w:rPr>
        <w:t>CEM</w:t>
      </w:r>
      <w:r w:rsidR="00AA256A">
        <w:rPr>
          <w:rFonts w:eastAsiaTheme="minorHAnsi" w:cs="Arial"/>
          <w:sz w:val="20"/>
          <w:szCs w:val="20"/>
          <w:lang w:val="en-ZA"/>
        </w:rPr>
        <w:t>’)</w:t>
      </w:r>
      <w:r w:rsidRPr="00335434">
        <w:rPr>
          <w:rFonts w:eastAsiaTheme="minorHAnsi" w:cs="Arial"/>
          <w:sz w:val="20"/>
          <w:szCs w:val="20"/>
          <w:lang w:val="en-ZA"/>
        </w:rPr>
        <w:t xml:space="preserve">, standardised and IMM. Exposure values calculated under these approaches are used to determine RWAs. We use the CEM approach. Under the CEM, the EAD is calculated as current replacement cost plus regulatory add-ons. </w:t>
      </w:r>
    </w:p>
    <w:p w:rsidR="00BC16F1" w:rsidRPr="00747618" w:rsidRDefault="00BC16F1" w:rsidP="0062699F">
      <w:pPr>
        <w:rPr>
          <w:rFonts w:cs="Arial"/>
          <w:color w:val="auto"/>
        </w:rPr>
      </w:pPr>
    </w:p>
    <w:p w:rsidR="00BC16F1" w:rsidRPr="00BE342A" w:rsidRDefault="00BC16F1" w:rsidP="0062699F">
      <w:pPr>
        <w:pStyle w:val="BodyText1"/>
        <w:outlineLvl w:val="1"/>
        <w:rPr>
          <w:color w:val="FF0000"/>
          <w:sz w:val="24"/>
          <w:szCs w:val="24"/>
        </w:rPr>
      </w:pPr>
      <w:bookmarkStart w:id="37" w:name="_Toc22895978"/>
      <w:r w:rsidRPr="00BE342A">
        <w:rPr>
          <w:color w:val="FF0000"/>
          <w:sz w:val="24"/>
          <w:szCs w:val="24"/>
        </w:rPr>
        <w:t xml:space="preserve">Table </w:t>
      </w:r>
      <w:r w:rsidR="00771AD0">
        <w:rPr>
          <w:color w:val="FF0000"/>
          <w:sz w:val="24"/>
          <w:szCs w:val="24"/>
        </w:rPr>
        <w:t>14</w:t>
      </w:r>
      <w:r w:rsidRPr="00BE342A">
        <w:rPr>
          <w:color w:val="FF0000"/>
          <w:sz w:val="24"/>
          <w:szCs w:val="24"/>
        </w:rPr>
        <w:t>: Analysis of counterparty credit risk (CCR) exposure by approach</w:t>
      </w:r>
      <w:r w:rsidR="001D2719" w:rsidRPr="00BE342A">
        <w:rPr>
          <w:color w:val="FF0000"/>
          <w:sz w:val="24"/>
          <w:szCs w:val="24"/>
        </w:rPr>
        <w:t xml:space="preserve"> (CCR1)</w:t>
      </w:r>
      <w:bookmarkEnd w:id="37"/>
    </w:p>
    <w:p w:rsidR="00BC16F1" w:rsidRPr="00747618" w:rsidRDefault="00BC16F1" w:rsidP="0062699F">
      <w:pPr>
        <w:rPr>
          <w:color w:val="auto"/>
        </w:rPr>
      </w:pPr>
    </w:p>
    <w:p w:rsidR="00836E22" w:rsidRDefault="00771AD0" w:rsidP="0062699F">
      <w:pPr>
        <w:rPr>
          <w:bCs/>
          <w:color w:val="FF0000"/>
        </w:rPr>
      </w:pPr>
      <w:r w:rsidRPr="00771AD0">
        <w:rPr>
          <w:noProof/>
          <w:lang w:val="en-ZA" w:eastAsia="en-ZA"/>
        </w:rPr>
        <w:drawing>
          <wp:inline distT="0" distB="0" distL="0" distR="0">
            <wp:extent cx="6336665" cy="2037339"/>
            <wp:effectExtent l="0" t="0" r="698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665" cy="2037339"/>
                    </a:xfrm>
                    <a:prstGeom prst="rect">
                      <a:avLst/>
                    </a:prstGeom>
                    <a:noFill/>
                    <a:ln>
                      <a:noFill/>
                    </a:ln>
                  </pic:spPr>
                </pic:pic>
              </a:graphicData>
            </a:graphic>
          </wp:inline>
        </w:drawing>
      </w:r>
    </w:p>
    <w:p w:rsidR="00836E22" w:rsidRDefault="00836E22" w:rsidP="0062699F">
      <w:pPr>
        <w:rPr>
          <w:bCs/>
          <w:color w:val="FF0000"/>
        </w:rPr>
      </w:pPr>
    </w:p>
    <w:p w:rsidR="00335434" w:rsidRPr="00F248BF" w:rsidRDefault="00BC16F1" w:rsidP="0062699F">
      <w:pPr>
        <w:pStyle w:val="BodyText1"/>
        <w:outlineLvl w:val="1"/>
        <w:rPr>
          <w:color w:val="FF0000"/>
          <w:sz w:val="24"/>
          <w:szCs w:val="24"/>
        </w:rPr>
      </w:pPr>
      <w:bookmarkStart w:id="38" w:name="_Toc22895979"/>
      <w:r w:rsidRPr="00F248BF">
        <w:rPr>
          <w:color w:val="FF0000"/>
          <w:sz w:val="24"/>
          <w:szCs w:val="24"/>
        </w:rPr>
        <w:t xml:space="preserve">Table </w:t>
      </w:r>
      <w:r w:rsidR="00771AD0">
        <w:rPr>
          <w:color w:val="FF0000"/>
          <w:sz w:val="24"/>
          <w:szCs w:val="24"/>
        </w:rPr>
        <w:t>15</w:t>
      </w:r>
      <w:r w:rsidRPr="00F248BF">
        <w:rPr>
          <w:color w:val="FF0000"/>
          <w:sz w:val="24"/>
          <w:szCs w:val="24"/>
        </w:rPr>
        <w:t>: Credit valuation adjustment (CVA) capital charge</w:t>
      </w:r>
      <w:r w:rsidR="001D2719" w:rsidRPr="00F248BF">
        <w:rPr>
          <w:color w:val="FF0000"/>
          <w:sz w:val="24"/>
          <w:szCs w:val="24"/>
        </w:rPr>
        <w:t xml:space="preserve"> (CCR2</w:t>
      </w:r>
      <w:r w:rsidR="00294B74" w:rsidRPr="00F248BF">
        <w:rPr>
          <w:color w:val="FF0000"/>
          <w:sz w:val="24"/>
          <w:szCs w:val="24"/>
        </w:rPr>
        <w:t>)</w:t>
      </w:r>
      <w:bookmarkEnd w:id="38"/>
      <w:r w:rsidR="00335434" w:rsidRPr="00F248BF">
        <w:rPr>
          <w:color w:val="FF0000"/>
          <w:sz w:val="24"/>
          <w:szCs w:val="24"/>
        </w:rPr>
        <w:t xml:space="preserve"> </w:t>
      </w:r>
    </w:p>
    <w:p w:rsidR="00F473D2" w:rsidRPr="00F248BF" w:rsidRDefault="00F473D2" w:rsidP="0062699F">
      <w:pPr>
        <w:pStyle w:val="BodyText1"/>
        <w:outlineLvl w:val="1"/>
        <w:rPr>
          <w:color w:val="FF0000"/>
          <w:sz w:val="24"/>
          <w:szCs w:val="24"/>
        </w:rPr>
      </w:pPr>
    </w:p>
    <w:p w:rsidR="00BC16F1" w:rsidRDefault="00771AD0" w:rsidP="0062699F">
      <w:pPr>
        <w:rPr>
          <w:bCs/>
          <w:color w:val="FF0000"/>
        </w:rPr>
      </w:pPr>
      <w:r w:rsidRPr="00771AD0">
        <w:rPr>
          <w:noProof/>
          <w:lang w:val="en-ZA" w:eastAsia="en-ZA"/>
        </w:rPr>
        <w:drawing>
          <wp:inline distT="0" distB="0" distL="0" distR="0">
            <wp:extent cx="6336665" cy="11295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665" cy="1129545"/>
                    </a:xfrm>
                    <a:prstGeom prst="rect">
                      <a:avLst/>
                    </a:prstGeom>
                    <a:noFill/>
                    <a:ln>
                      <a:noFill/>
                    </a:ln>
                  </pic:spPr>
                </pic:pic>
              </a:graphicData>
            </a:graphic>
          </wp:inline>
        </w:drawing>
      </w:r>
    </w:p>
    <w:p w:rsidR="00335434" w:rsidRDefault="00335434" w:rsidP="0062699F">
      <w:pPr>
        <w:rPr>
          <w:bCs/>
          <w:color w:val="FF0000"/>
        </w:rPr>
      </w:pPr>
    </w:p>
    <w:p w:rsidR="00BC16F1" w:rsidRDefault="00BC16F1" w:rsidP="0062699F">
      <w:pPr>
        <w:rPr>
          <w:bCs/>
          <w:color w:val="FF0000"/>
        </w:rPr>
      </w:pPr>
    </w:p>
    <w:p w:rsidR="00771AD0" w:rsidRDefault="00771AD0">
      <w:pPr>
        <w:rPr>
          <w:rFonts w:cs="Arial"/>
          <w:color w:val="FF0000"/>
        </w:rPr>
      </w:pPr>
      <w:r>
        <w:rPr>
          <w:color w:val="FF0000"/>
        </w:rPr>
        <w:br w:type="page"/>
      </w:r>
    </w:p>
    <w:p w:rsidR="00294B74" w:rsidRPr="00BE342A" w:rsidRDefault="00BC16F1" w:rsidP="0062699F">
      <w:pPr>
        <w:pStyle w:val="BodyText1"/>
        <w:outlineLvl w:val="1"/>
        <w:rPr>
          <w:color w:val="FF0000"/>
          <w:sz w:val="24"/>
          <w:szCs w:val="24"/>
        </w:rPr>
      </w:pPr>
      <w:bookmarkStart w:id="39" w:name="_Toc22895980"/>
      <w:r w:rsidRPr="00BE342A">
        <w:rPr>
          <w:color w:val="FF0000"/>
          <w:sz w:val="24"/>
          <w:szCs w:val="24"/>
        </w:rPr>
        <w:lastRenderedPageBreak/>
        <w:t xml:space="preserve">Table </w:t>
      </w:r>
      <w:r w:rsidR="00771AD0">
        <w:rPr>
          <w:color w:val="FF0000"/>
          <w:sz w:val="24"/>
          <w:szCs w:val="24"/>
        </w:rPr>
        <w:t>16</w:t>
      </w:r>
      <w:r w:rsidRPr="00BE342A">
        <w:rPr>
          <w:color w:val="FF0000"/>
          <w:sz w:val="24"/>
          <w:szCs w:val="24"/>
        </w:rPr>
        <w:t>: Standardised approach - CCR exposures by regulatory portfolio and risk weights</w:t>
      </w:r>
      <w:r w:rsidR="00294B74" w:rsidRPr="00BE342A">
        <w:rPr>
          <w:color w:val="FF0000"/>
          <w:sz w:val="24"/>
          <w:szCs w:val="24"/>
        </w:rPr>
        <w:t xml:space="preserve"> (CCR3)</w:t>
      </w:r>
      <w:bookmarkEnd w:id="39"/>
    </w:p>
    <w:p w:rsidR="00294B74" w:rsidRDefault="00294B74" w:rsidP="0062699F"/>
    <w:p w:rsidR="00306A3F" w:rsidRDefault="00771AD0" w:rsidP="0062699F">
      <w:pPr>
        <w:rPr>
          <w:color w:val="FF0000"/>
        </w:rPr>
      </w:pPr>
      <w:r w:rsidRPr="00771AD0">
        <w:rPr>
          <w:noProof/>
          <w:lang w:val="en-ZA" w:eastAsia="en-ZA"/>
        </w:rPr>
        <w:drawing>
          <wp:inline distT="0" distB="0" distL="0" distR="0">
            <wp:extent cx="6336665" cy="2546054"/>
            <wp:effectExtent l="0" t="0" r="6985" b="698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6665" cy="2546054"/>
                    </a:xfrm>
                    <a:prstGeom prst="rect">
                      <a:avLst/>
                    </a:prstGeom>
                    <a:noFill/>
                    <a:ln>
                      <a:noFill/>
                    </a:ln>
                  </pic:spPr>
                </pic:pic>
              </a:graphicData>
            </a:graphic>
          </wp:inline>
        </w:drawing>
      </w:r>
      <w:r w:rsidR="00306A3F">
        <w:rPr>
          <w:bCs/>
          <w:color w:val="FF0000"/>
        </w:rPr>
        <w:br w:type="page"/>
      </w:r>
    </w:p>
    <w:p w:rsidR="00306A3F" w:rsidRPr="00C572DB" w:rsidRDefault="00306A3F" w:rsidP="0062699F">
      <w:pPr>
        <w:pStyle w:val="BodyText1"/>
        <w:outlineLvl w:val="0"/>
        <w:rPr>
          <w:noProof/>
          <w:color w:val="FF0000"/>
          <w:sz w:val="44"/>
          <w:szCs w:val="44"/>
          <w:lang w:val="en-ZA" w:eastAsia="en-ZA"/>
        </w:rPr>
      </w:pPr>
      <w:bookmarkStart w:id="40" w:name="_Toc524694507"/>
      <w:bookmarkStart w:id="41" w:name="_Toc22895981"/>
      <w:r w:rsidRPr="00C572DB">
        <w:rPr>
          <w:noProof/>
          <w:color w:val="FF0000"/>
          <w:sz w:val="44"/>
          <w:szCs w:val="44"/>
          <w:lang w:val="en-ZA" w:eastAsia="en-ZA"/>
        </w:rPr>
        <w:lastRenderedPageBreak/>
        <w:t>Market Risk</w:t>
      </w:r>
      <w:bookmarkEnd w:id="40"/>
      <w:bookmarkEnd w:id="41"/>
    </w:p>
    <w:p w:rsidR="00306A3F" w:rsidRDefault="00306A3F" w:rsidP="0062699F">
      <w:pPr>
        <w:rPr>
          <w:rFonts w:cs="Arial"/>
          <w:szCs w:val="20"/>
        </w:rPr>
      </w:pPr>
    </w:p>
    <w:p w:rsidR="00243CD2" w:rsidRPr="00BB5358" w:rsidRDefault="00243CD2" w:rsidP="0062699F">
      <w:pPr>
        <w:rPr>
          <w:rFonts w:cs="Arial"/>
          <w:sz w:val="20"/>
          <w:szCs w:val="20"/>
        </w:rPr>
      </w:pPr>
      <w:r w:rsidRPr="00BB5358">
        <w:rPr>
          <w:rFonts w:cs="Arial"/>
          <w:sz w:val="20"/>
          <w:szCs w:val="20"/>
        </w:rPr>
        <w:t>HSB</w:t>
      </w:r>
      <w:r w:rsidR="004E0477">
        <w:rPr>
          <w:rFonts w:cs="Arial"/>
          <w:sz w:val="20"/>
          <w:szCs w:val="20"/>
        </w:rPr>
        <w:t>C JOH has adopted the S</w:t>
      </w:r>
      <w:r w:rsidR="00932187" w:rsidRPr="00BB5358">
        <w:rPr>
          <w:rFonts w:cs="Arial"/>
          <w:sz w:val="20"/>
          <w:szCs w:val="20"/>
        </w:rPr>
        <w:t>tandardis</w:t>
      </w:r>
      <w:r w:rsidRPr="00BB5358">
        <w:rPr>
          <w:rFonts w:cs="Arial"/>
          <w:sz w:val="20"/>
          <w:szCs w:val="20"/>
        </w:rPr>
        <w:t xml:space="preserve">ed Approach in respect of positions held in the trading book, and currently calculates capital on the current market value of interest rate and foreign exchange instruments held in the Branch’s trading books. </w:t>
      </w:r>
    </w:p>
    <w:p w:rsidR="00243CD2" w:rsidRPr="00BB5358" w:rsidRDefault="00243CD2" w:rsidP="0062699F">
      <w:pPr>
        <w:rPr>
          <w:rFonts w:cs="Arial"/>
          <w:sz w:val="20"/>
          <w:szCs w:val="20"/>
        </w:rPr>
      </w:pPr>
    </w:p>
    <w:p w:rsidR="00243CD2" w:rsidRPr="00BB5358" w:rsidRDefault="00243CD2" w:rsidP="0062699F">
      <w:pPr>
        <w:rPr>
          <w:rFonts w:cs="Arial"/>
          <w:sz w:val="20"/>
          <w:szCs w:val="20"/>
        </w:rPr>
      </w:pPr>
      <w:r w:rsidRPr="00BB5358">
        <w:rPr>
          <w:rFonts w:cs="Arial"/>
          <w:sz w:val="20"/>
          <w:szCs w:val="20"/>
        </w:rPr>
        <w:t>The objective of HSBC JOH’s market risk management is to manage and control market risk exposures in order to optimize return on risk while maintaining a market profile consistent with the Group’s status as a premier provider of financial products and services.</w:t>
      </w:r>
    </w:p>
    <w:p w:rsidR="00243CD2" w:rsidRPr="00BB5358" w:rsidRDefault="00243CD2" w:rsidP="0062699F">
      <w:pPr>
        <w:rPr>
          <w:rFonts w:cs="Arial"/>
          <w:sz w:val="20"/>
          <w:szCs w:val="20"/>
        </w:rPr>
      </w:pPr>
    </w:p>
    <w:p w:rsidR="00243CD2" w:rsidRPr="00BB5358" w:rsidRDefault="00243CD2" w:rsidP="0062699F">
      <w:pPr>
        <w:rPr>
          <w:rFonts w:cs="Arial"/>
          <w:sz w:val="20"/>
          <w:szCs w:val="20"/>
        </w:rPr>
      </w:pPr>
      <w:r w:rsidRPr="00BB5358">
        <w:rPr>
          <w:rFonts w:cs="Arial"/>
          <w:sz w:val="20"/>
          <w:szCs w:val="20"/>
        </w:rPr>
        <w:t xml:space="preserve">Main market risk exposures in South Africa are: </w:t>
      </w:r>
    </w:p>
    <w:p w:rsidR="00171A34" w:rsidRPr="00BB5358" w:rsidRDefault="00171A34" w:rsidP="0062699F">
      <w:pPr>
        <w:rPr>
          <w:rFonts w:cs="Arial"/>
          <w:sz w:val="20"/>
          <w:szCs w:val="20"/>
        </w:rPr>
      </w:pPr>
    </w:p>
    <w:p w:rsidR="00243CD2" w:rsidRPr="00BB5358" w:rsidRDefault="00243CD2" w:rsidP="0062699F">
      <w:pPr>
        <w:pStyle w:val="ListParagraph"/>
        <w:numPr>
          <w:ilvl w:val="0"/>
          <w:numId w:val="22"/>
        </w:numPr>
        <w:rPr>
          <w:rFonts w:cs="Arial"/>
          <w:sz w:val="20"/>
          <w:szCs w:val="20"/>
        </w:rPr>
      </w:pPr>
      <w:r w:rsidRPr="00BB5358">
        <w:rPr>
          <w:rFonts w:cs="Arial"/>
          <w:sz w:val="20"/>
          <w:szCs w:val="20"/>
        </w:rPr>
        <w:t xml:space="preserve">Foreign exchange - arising from sales and trading of foreign exchange products such as spots, forwards, swaps and options; and </w:t>
      </w:r>
    </w:p>
    <w:p w:rsidR="00243CD2" w:rsidRPr="00BB5358" w:rsidRDefault="00243CD2" w:rsidP="0062699F">
      <w:pPr>
        <w:pStyle w:val="ListParagraph"/>
        <w:numPr>
          <w:ilvl w:val="0"/>
          <w:numId w:val="22"/>
        </w:numPr>
        <w:rPr>
          <w:rFonts w:cs="Arial"/>
          <w:sz w:val="20"/>
          <w:szCs w:val="20"/>
        </w:rPr>
      </w:pPr>
      <w:r w:rsidRPr="00BB5358">
        <w:rPr>
          <w:rFonts w:cs="Arial"/>
          <w:sz w:val="20"/>
          <w:szCs w:val="20"/>
        </w:rPr>
        <w:t>Interest rate - arising from rates trading activity, sale of interest rate products to clients and balance sheet management activity.</w:t>
      </w:r>
    </w:p>
    <w:p w:rsidR="00771AD0" w:rsidRPr="00BB5358" w:rsidRDefault="00771AD0" w:rsidP="00771AD0">
      <w:pPr>
        <w:rPr>
          <w:rFonts w:cs="Arial"/>
          <w:sz w:val="20"/>
          <w:szCs w:val="20"/>
        </w:rPr>
      </w:pPr>
    </w:p>
    <w:p w:rsidR="00771AD0" w:rsidRPr="00BB5358" w:rsidRDefault="00771AD0" w:rsidP="00771AD0">
      <w:pPr>
        <w:autoSpaceDE w:val="0"/>
        <w:autoSpaceDN w:val="0"/>
        <w:adjustRightInd w:val="0"/>
        <w:rPr>
          <w:rFonts w:cs="Arial"/>
          <w:color w:val="auto"/>
          <w:sz w:val="20"/>
          <w:szCs w:val="20"/>
        </w:rPr>
      </w:pPr>
      <w:r w:rsidRPr="00BB5358">
        <w:rPr>
          <w:rFonts w:cs="Arial"/>
          <w:color w:val="auto"/>
          <w:sz w:val="20"/>
          <w:szCs w:val="20"/>
        </w:rPr>
        <w:t>There were no material changes to the policies and practices for the management of market risk.</w:t>
      </w:r>
    </w:p>
    <w:p w:rsidR="00293E3D" w:rsidRDefault="00293E3D" w:rsidP="0062699F">
      <w:pPr>
        <w:rPr>
          <w:bCs/>
          <w:color w:val="FF0000"/>
        </w:rPr>
      </w:pPr>
    </w:p>
    <w:p w:rsidR="00306A3F" w:rsidRDefault="00771AD0" w:rsidP="0062699F">
      <w:pPr>
        <w:pStyle w:val="BodyText1"/>
        <w:outlineLvl w:val="1"/>
        <w:rPr>
          <w:color w:val="FF0000"/>
          <w:sz w:val="24"/>
          <w:szCs w:val="24"/>
        </w:rPr>
      </w:pPr>
      <w:bookmarkStart w:id="42" w:name="_Toc22895982"/>
      <w:r>
        <w:rPr>
          <w:color w:val="FF0000"/>
          <w:sz w:val="24"/>
          <w:szCs w:val="24"/>
        </w:rPr>
        <w:t>Table 17</w:t>
      </w:r>
      <w:r w:rsidR="00306A3F" w:rsidRPr="00BE342A">
        <w:rPr>
          <w:color w:val="FF0000"/>
          <w:sz w:val="24"/>
          <w:szCs w:val="24"/>
        </w:rPr>
        <w:t>: Market risk under the standardised approach (SA)</w:t>
      </w:r>
      <w:r w:rsidR="00294B74" w:rsidRPr="00BE342A">
        <w:rPr>
          <w:color w:val="FF0000"/>
          <w:sz w:val="24"/>
          <w:szCs w:val="24"/>
        </w:rPr>
        <w:t xml:space="preserve"> (MR1)</w:t>
      </w:r>
      <w:bookmarkEnd w:id="42"/>
    </w:p>
    <w:p w:rsidR="001709E8" w:rsidRPr="00BE342A" w:rsidRDefault="001709E8" w:rsidP="0062699F">
      <w:pPr>
        <w:pStyle w:val="BodyText1"/>
        <w:outlineLvl w:val="1"/>
        <w:rPr>
          <w:color w:val="FF0000"/>
          <w:sz w:val="24"/>
          <w:szCs w:val="24"/>
        </w:rPr>
      </w:pPr>
    </w:p>
    <w:p w:rsidR="00CF3341" w:rsidRDefault="00771AD0" w:rsidP="0062699F">
      <w:pPr>
        <w:rPr>
          <w:rFonts w:cs="Arial"/>
          <w:color w:val="auto"/>
          <w:sz w:val="20"/>
          <w:szCs w:val="20"/>
        </w:rPr>
      </w:pPr>
      <w:r w:rsidRPr="00771AD0">
        <w:rPr>
          <w:noProof/>
          <w:lang w:val="en-ZA" w:eastAsia="en-ZA"/>
        </w:rPr>
        <w:drawing>
          <wp:inline distT="0" distB="0" distL="0" distR="0">
            <wp:extent cx="6336665" cy="2268284"/>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6665" cy="2268284"/>
                    </a:xfrm>
                    <a:prstGeom prst="rect">
                      <a:avLst/>
                    </a:prstGeom>
                    <a:noFill/>
                    <a:ln>
                      <a:noFill/>
                    </a:ln>
                  </pic:spPr>
                </pic:pic>
              </a:graphicData>
            </a:graphic>
          </wp:inline>
        </w:drawing>
      </w:r>
    </w:p>
    <w:p w:rsidR="00E6371B" w:rsidRPr="00094EC5" w:rsidRDefault="00E6371B" w:rsidP="0062699F">
      <w:pPr>
        <w:rPr>
          <w:rFonts w:cs="Arial"/>
          <w:color w:val="auto"/>
          <w:sz w:val="20"/>
          <w:szCs w:val="20"/>
        </w:rPr>
      </w:pPr>
      <w:r>
        <w:rPr>
          <w:rFonts w:cs="Arial"/>
          <w:color w:val="auto"/>
          <w:sz w:val="20"/>
          <w:szCs w:val="20"/>
        </w:rPr>
        <w:br w:type="page"/>
      </w:r>
      <w:r w:rsidRPr="00C572DB">
        <w:rPr>
          <w:noProof/>
          <w:color w:val="FF0000"/>
          <w:sz w:val="44"/>
          <w:szCs w:val="44"/>
          <w:lang w:val="en-ZA" w:eastAsia="en-ZA"/>
        </w:rPr>
        <w:lastRenderedPageBreak/>
        <w:t>Interest Rate Risk (Banking Book)</w:t>
      </w:r>
    </w:p>
    <w:p w:rsidR="00E6371B" w:rsidRPr="00747618" w:rsidRDefault="00E6371B" w:rsidP="0062699F">
      <w:pPr>
        <w:rPr>
          <w:rFonts w:cs="Arial"/>
          <w:color w:val="1D1D1B"/>
          <w:lang w:val="en-ZA" w:eastAsia="en-GB"/>
        </w:rPr>
      </w:pPr>
    </w:p>
    <w:p w:rsidR="00E6371B" w:rsidRPr="00BB5358" w:rsidRDefault="00E6371B" w:rsidP="0062699F">
      <w:pPr>
        <w:rPr>
          <w:rFonts w:cs="Arial"/>
          <w:color w:val="1D1D1B"/>
          <w:sz w:val="20"/>
          <w:szCs w:val="20"/>
          <w:lang w:val="en-ZA" w:eastAsia="en-GB"/>
        </w:rPr>
      </w:pPr>
      <w:r w:rsidRPr="00BB5358">
        <w:rPr>
          <w:rFonts w:cs="Arial"/>
          <w:color w:val="1D1D1B"/>
          <w:sz w:val="20"/>
          <w:szCs w:val="20"/>
          <w:lang w:val="en-ZA" w:eastAsia="en-GB"/>
        </w:rPr>
        <w:t xml:space="preserve">Interest rate risk in the banking book (‘IRRBB’) is defined as the exposure of non-trading products to interest rates. Interest rate risk in non-trading portfolios arises principally from </w:t>
      </w:r>
      <w:r w:rsidR="0005346D" w:rsidRPr="00BB5358">
        <w:rPr>
          <w:rFonts w:cs="Arial"/>
          <w:color w:val="1D1D1B"/>
          <w:sz w:val="20"/>
          <w:szCs w:val="20"/>
          <w:lang w:val="en-ZA" w:eastAsia="en-GB"/>
        </w:rPr>
        <w:t xml:space="preserve">repricing </w:t>
      </w:r>
      <w:r w:rsidRPr="00BB5358">
        <w:rPr>
          <w:rFonts w:cs="Arial"/>
          <w:color w:val="1D1D1B"/>
          <w:sz w:val="20"/>
          <w:szCs w:val="20"/>
          <w:lang w:val="en-ZA" w:eastAsia="en-GB"/>
        </w:rPr>
        <w:t>mismatches between the future yield on assets and their funding cost, as a result of interest rate changes. The prospective change in future net interest income from non-trading portfolios will be reflected in the current realisable value of these positions, should they be sold or closed prior to maturity. In order to manage this risk optimally, market risk in non-trading portfolios is transferred to Markets under the supervision of ALCO. Interest rate risk is measured on a daily basis against regionally approved limits. The transfer of market risk to books managed by Global Markets is usually achieved by a series of internal deals between the business units and these books.</w:t>
      </w:r>
    </w:p>
    <w:p w:rsidR="00E6371B" w:rsidRPr="00BB5358" w:rsidRDefault="00E6371B" w:rsidP="0062699F">
      <w:pPr>
        <w:rPr>
          <w:rFonts w:cs="Arial"/>
          <w:color w:val="1D1D1B"/>
          <w:sz w:val="20"/>
          <w:szCs w:val="20"/>
          <w:lang w:val="en-ZA" w:eastAsia="en-GB"/>
        </w:rPr>
      </w:pPr>
    </w:p>
    <w:p w:rsidR="00E6371B" w:rsidRPr="00BB5358" w:rsidRDefault="00E6371B" w:rsidP="0062699F">
      <w:pPr>
        <w:rPr>
          <w:rFonts w:cs="Arial"/>
          <w:color w:val="1D1D1B"/>
          <w:sz w:val="20"/>
          <w:szCs w:val="20"/>
          <w:lang w:val="en-ZA" w:eastAsia="en-GB"/>
        </w:rPr>
      </w:pPr>
      <w:r w:rsidRPr="00BB5358">
        <w:rPr>
          <w:rFonts w:cs="Arial"/>
          <w:color w:val="1D1D1B"/>
          <w:sz w:val="20"/>
          <w:szCs w:val="20"/>
          <w:lang w:val="en-ZA" w:eastAsia="en-GB"/>
        </w:rPr>
        <w:t xml:space="preserve">When the behavioural </w:t>
      </w:r>
      <w:r w:rsidR="0005346D" w:rsidRPr="00BB5358">
        <w:rPr>
          <w:rFonts w:cs="Arial"/>
          <w:color w:val="1D1D1B"/>
          <w:sz w:val="20"/>
          <w:szCs w:val="20"/>
          <w:lang w:val="en-ZA" w:eastAsia="en-GB"/>
        </w:rPr>
        <w:t>characteristics (repricing)</w:t>
      </w:r>
      <w:r w:rsidRPr="00BB5358">
        <w:rPr>
          <w:rFonts w:cs="Arial"/>
          <w:color w:val="1D1D1B"/>
          <w:sz w:val="20"/>
          <w:szCs w:val="20"/>
          <w:lang w:val="en-ZA" w:eastAsia="en-GB"/>
        </w:rPr>
        <w:t xml:space="preserve"> of a product differ from its contractual characteristics, the behavioural characteristics are assessed to determine the true underlying interest rate risk. ALCO is required to regularly monitor all such behavioural assumptions and interest rate risk positions, to ensure they comply with interest rate risk limits established by the Group.</w:t>
      </w:r>
    </w:p>
    <w:p w:rsidR="00E6371B" w:rsidRPr="003946B9" w:rsidRDefault="00E6371B" w:rsidP="0062699F">
      <w:pPr>
        <w:rPr>
          <w:rFonts w:cs="Arial"/>
          <w:color w:val="FF0000"/>
          <w:lang w:val="en-ZA" w:eastAsia="en-GB"/>
        </w:rPr>
      </w:pPr>
    </w:p>
    <w:p w:rsidR="001C7CB4" w:rsidRDefault="00BE342A" w:rsidP="0062699F">
      <w:pPr>
        <w:pStyle w:val="BodyText1"/>
        <w:outlineLvl w:val="1"/>
        <w:rPr>
          <w:color w:val="FF0000"/>
          <w:sz w:val="24"/>
          <w:szCs w:val="24"/>
        </w:rPr>
      </w:pPr>
      <w:bookmarkStart w:id="43" w:name="_Toc22895983"/>
      <w:r w:rsidRPr="00BE342A">
        <w:rPr>
          <w:color w:val="FF0000"/>
          <w:sz w:val="24"/>
          <w:szCs w:val="24"/>
        </w:rPr>
        <w:t>Tabl</w:t>
      </w:r>
      <w:r w:rsidR="00771AD0">
        <w:rPr>
          <w:color w:val="FF0000"/>
          <w:sz w:val="24"/>
          <w:szCs w:val="24"/>
        </w:rPr>
        <w:t>e 18</w:t>
      </w:r>
      <w:r w:rsidR="006140FA" w:rsidRPr="00BE342A">
        <w:rPr>
          <w:color w:val="FF0000"/>
          <w:sz w:val="24"/>
          <w:szCs w:val="24"/>
        </w:rPr>
        <w:t xml:space="preserve">: </w:t>
      </w:r>
      <w:r w:rsidR="00E6371B" w:rsidRPr="00BE342A">
        <w:rPr>
          <w:color w:val="FF0000"/>
          <w:sz w:val="24"/>
          <w:szCs w:val="24"/>
        </w:rPr>
        <w:t>Exposure to interest rat</w:t>
      </w:r>
      <w:r w:rsidR="006140FA" w:rsidRPr="00BE342A">
        <w:rPr>
          <w:color w:val="FF0000"/>
          <w:sz w:val="24"/>
          <w:szCs w:val="24"/>
        </w:rPr>
        <w:t>e risk in the Banking Book</w:t>
      </w:r>
      <w:bookmarkEnd w:id="43"/>
    </w:p>
    <w:p w:rsidR="001C7CB4" w:rsidRDefault="001C7CB4" w:rsidP="0062699F">
      <w:pPr>
        <w:pStyle w:val="BodyText1"/>
        <w:outlineLvl w:val="1"/>
        <w:rPr>
          <w:color w:val="FF0000"/>
          <w:sz w:val="24"/>
          <w:szCs w:val="24"/>
        </w:rPr>
      </w:pPr>
    </w:p>
    <w:p w:rsidR="001C7CB4" w:rsidRDefault="00771AD0" w:rsidP="0062699F">
      <w:pPr>
        <w:rPr>
          <w:rFonts w:cs="Arial"/>
          <w:color w:val="FF0000"/>
        </w:rPr>
      </w:pPr>
      <w:r w:rsidRPr="00771AD0">
        <w:rPr>
          <w:noProof/>
          <w:lang w:val="en-ZA" w:eastAsia="en-ZA"/>
        </w:rPr>
        <w:drawing>
          <wp:inline distT="0" distB="0" distL="0" distR="0">
            <wp:extent cx="6336665" cy="1495354"/>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665" cy="1495354"/>
                    </a:xfrm>
                    <a:prstGeom prst="rect">
                      <a:avLst/>
                    </a:prstGeom>
                    <a:noFill/>
                    <a:ln>
                      <a:noFill/>
                    </a:ln>
                  </pic:spPr>
                </pic:pic>
              </a:graphicData>
            </a:graphic>
          </wp:inline>
        </w:drawing>
      </w:r>
      <w:r w:rsidR="001C7CB4">
        <w:rPr>
          <w:color w:val="FF0000"/>
        </w:rPr>
        <w:br w:type="page"/>
      </w:r>
    </w:p>
    <w:p w:rsidR="00645441" w:rsidRDefault="00645441" w:rsidP="0062699F">
      <w:pPr>
        <w:pStyle w:val="BodyText1"/>
        <w:outlineLvl w:val="1"/>
        <w:rPr>
          <w:rFonts w:ascii="Univers-Light-Normal" w:hAnsi="Univers-Light-Normal" w:cs="Univers-Light-Normal"/>
          <w:color w:val="1D1D1B"/>
          <w:sz w:val="16"/>
          <w:szCs w:val="16"/>
          <w:lang w:val="en-ZA" w:eastAsia="en-GB"/>
        </w:rPr>
      </w:pPr>
    </w:p>
    <w:p w:rsidR="00645441" w:rsidRPr="00C572DB" w:rsidRDefault="00645441" w:rsidP="0062699F">
      <w:pPr>
        <w:pStyle w:val="BodyText1"/>
        <w:outlineLvl w:val="0"/>
        <w:rPr>
          <w:noProof/>
          <w:color w:val="FF0000"/>
          <w:sz w:val="44"/>
          <w:szCs w:val="44"/>
          <w:lang w:val="en-ZA" w:eastAsia="en-ZA"/>
        </w:rPr>
      </w:pPr>
      <w:bookmarkStart w:id="44" w:name="_Toc22895984"/>
      <w:r w:rsidRPr="00C572DB">
        <w:rPr>
          <w:noProof/>
          <w:color w:val="FF0000"/>
          <w:sz w:val="44"/>
          <w:szCs w:val="44"/>
          <w:lang w:val="en-ZA" w:eastAsia="en-ZA"/>
        </w:rPr>
        <w:t>Operational risk</w:t>
      </w:r>
      <w:bookmarkEnd w:id="44"/>
    </w:p>
    <w:p w:rsidR="00645441" w:rsidRPr="003946B9" w:rsidRDefault="00645441" w:rsidP="0062699F">
      <w:pPr>
        <w:rPr>
          <w:rFonts w:cs="Arial"/>
          <w:b/>
          <w:bCs/>
          <w:color w:val="1D1D1B"/>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Operational risk is the risk to achieving the strategy or objectives as a result of inadequate or failed internal processes, people and systems or from external events. Operational risk is relevant to every aspect of the business. It covers a wide spectrum of categories, in particular accounting tax, legal, regulatory compliance, financial crime, internal and external fraud, security of people, physical assets, information and cyber security, employment practices and relations, building unavailability and workplace safety, systems and data integrity, operations (transaction processing</w:t>
      </w:r>
      <w:r w:rsidR="006042E7" w:rsidRPr="00BB5358">
        <w:rPr>
          <w:rFonts w:cs="Arial"/>
          <w:color w:val="1D1D1B"/>
          <w:sz w:val="20"/>
          <w:szCs w:val="20"/>
          <w:lang w:val="en-ZA" w:eastAsia="en-GB"/>
        </w:rPr>
        <w:t>)</w:t>
      </w:r>
      <w:r w:rsidRPr="00BB5358">
        <w:rPr>
          <w:rFonts w:cs="Arial"/>
          <w:color w:val="1D1D1B"/>
          <w:sz w:val="20"/>
          <w:szCs w:val="20"/>
          <w:lang w:val="en-ZA" w:eastAsia="en-GB"/>
        </w:rPr>
        <w:t xml:space="preserve"> and failure in other principal risk processes all fall within the definition of operational risk. HSBC JOH has historically experienced operational risk losses in the following major event types:</w:t>
      </w:r>
    </w:p>
    <w:p w:rsidR="00932187" w:rsidRPr="00BB5358" w:rsidRDefault="00932187" w:rsidP="0062699F">
      <w:pPr>
        <w:rPr>
          <w:rFonts w:cs="Arial"/>
          <w:color w:val="1D1D1B"/>
          <w:sz w:val="20"/>
          <w:szCs w:val="20"/>
          <w:lang w:val="en-ZA" w:eastAsia="en-GB"/>
        </w:rPr>
      </w:pPr>
    </w:p>
    <w:p w:rsidR="00645441" w:rsidRPr="00BB5358" w:rsidRDefault="00645441" w:rsidP="0062699F">
      <w:pPr>
        <w:pStyle w:val="ListParagraph"/>
        <w:numPr>
          <w:ilvl w:val="0"/>
          <w:numId w:val="23"/>
        </w:numPr>
        <w:rPr>
          <w:rFonts w:cs="Arial"/>
          <w:color w:val="1D1D1B"/>
          <w:sz w:val="20"/>
          <w:szCs w:val="20"/>
          <w:lang w:val="en-ZA" w:eastAsia="en-GB"/>
        </w:rPr>
      </w:pPr>
      <w:r w:rsidRPr="00BB5358">
        <w:rPr>
          <w:rFonts w:cs="Arial"/>
          <w:color w:val="1D1D1B"/>
          <w:sz w:val="20"/>
          <w:szCs w:val="20"/>
          <w:lang w:val="en-ZA" w:eastAsia="en-GB"/>
        </w:rPr>
        <w:t>internal fraud;</w:t>
      </w:r>
    </w:p>
    <w:p w:rsidR="00645441" w:rsidRPr="00BB5358" w:rsidRDefault="00645441" w:rsidP="0062699F">
      <w:pPr>
        <w:pStyle w:val="ListParagraph"/>
        <w:numPr>
          <w:ilvl w:val="0"/>
          <w:numId w:val="23"/>
        </w:numPr>
        <w:rPr>
          <w:rFonts w:cs="Arial"/>
          <w:color w:val="1D1D1B"/>
          <w:sz w:val="20"/>
          <w:szCs w:val="20"/>
          <w:lang w:val="en-ZA" w:eastAsia="en-GB"/>
        </w:rPr>
      </w:pPr>
      <w:r w:rsidRPr="00BB5358">
        <w:rPr>
          <w:rFonts w:cs="Arial"/>
          <w:color w:val="1D1D1B"/>
          <w:sz w:val="20"/>
          <w:szCs w:val="20"/>
          <w:lang w:val="en-ZA" w:eastAsia="en-GB"/>
        </w:rPr>
        <w:t>business disruption and systems failure; and</w:t>
      </w:r>
    </w:p>
    <w:p w:rsidR="00645441" w:rsidRPr="00BB5358" w:rsidRDefault="004D5676" w:rsidP="0062699F">
      <w:pPr>
        <w:pStyle w:val="ListParagraph"/>
        <w:numPr>
          <w:ilvl w:val="0"/>
          <w:numId w:val="23"/>
        </w:numPr>
        <w:rPr>
          <w:rFonts w:cs="Arial"/>
          <w:color w:val="1D1D1B"/>
          <w:sz w:val="20"/>
          <w:szCs w:val="20"/>
          <w:lang w:val="en-ZA" w:eastAsia="en-GB"/>
        </w:rPr>
      </w:pPr>
      <w:r w:rsidRPr="00BB5358">
        <w:rPr>
          <w:rFonts w:cs="Arial"/>
          <w:color w:val="1D1D1B"/>
          <w:sz w:val="20"/>
          <w:szCs w:val="20"/>
          <w:lang w:val="en-ZA" w:eastAsia="en-GB"/>
        </w:rPr>
        <w:t>execution</w:t>
      </w:r>
      <w:r w:rsidR="00645441" w:rsidRPr="00BB5358">
        <w:rPr>
          <w:rFonts w:cs="Arial"/>
          <w:color w:val="1D1D1B"/>
          <w:sz w:val="20"/>
          <w:szCs w:val="20"/>
          <w:lang w:val="en-ZA" w:eastAsia="en-GB"/>
        </w:rPr>
        <w:t>, delivery, and process management.</w:t>
      </w:r>
    </w:p>
    <w:p w:rsidR="00645441" w:rsidRPr="00BB5358" w:rsidRDefault="00645441" w:rsidP="0062699F">
      <w:pPr>
        <w:rPr>
          <w:rFonts w:cs="Arial"/>
          <w:color w:val="1D1D1B"/>
          <w:sz w:val="20"/>
          <w:szCs w:val="20"/>
          <w:lang w:val="en-ZA" w:eastAsia="en-GB"/>
        </w:rPr>
      </w:pPr>
    </w:p>
    <w:p w:rsidR="00645441" w:rsidRPr="00BB5358" w:rsidRDefault="00645441" w:rsidP="005D6700">
      <w:pPr>
        <w:rPr>
          <w:rFonts w:cs="Arial"/>
          <w:color w:val="1D1D1B"/>
          <w:sz w:val="20"/>
          <w:szCs w:val="20"/>
          <w:lang w:val="en-ZA" w:eastAsia="en-GB"/>
        </w:rPr>
      </w:pPr>
      <w:r w:rsidRPr="00BB5358">
        <w:rPr>
          <w:rFonts w:cs="Arial"/>
          <w:color w:val="1D1D1B"/>
          <w:sz w:val="20"/>
          <w:szCs w:val="20"/>
          <w:lang w:val="en-ZA" w:eastAsia="en-GB"/>
        </w:rPr>
        <w:t>And under the following categories:</w:t>
      </w:r>
    </w:p>
    <w:p w:rsidR="00645441" w:rsidRPr="00BB5358" w:rsidRDefault="00645441" w:rsidP="0062699F">
      <w:pPr>
        <w:pStyle w:val="ListParagraph"/>
        <w:numPr>
          <w:ilvl w:val="0"/>
          <w:numId w:val="23"/>
        </w:numPr>
        <w:rPr>
          <w:rFonts w:cs="Arial"/>
          <w:color w:val="1D1D1B"/>
          <w:sz w:val="20"/>
          <w:szCs w:val="20"/>
          <w:lang w:val="en-ZA" w:eastAsia="en-GB"/>
        </w:rPr>
      </w:pPr>
      <w:r w:rsidRPr="00BB5358">
        <w:rPr>
          <w:rFonts w:cs="Arial"/>
          <w:color w:val="1D1D1B"/>
          <w:sz w:val="20"/>
          <w:szCs w:val="20"/>
          <w:lang w:val="en-ZA" w:eastAsia="en-GB"/>
        </w:rPr>
        <w:t>trading and sales; and</w:t>
      </w:r>
    </w:p>
    <w:p w:rsidR="00645441" w:rsidRPr="00BB5358" w:rsidRDefault="00645441" w:rsidP="0062699F">
      <w:pPr>
        <w:pStyle w:val="ListParagraph"/>
        <w:numPr>
          <w:ilvl w:val="0"/>
          <w:numId w:val="23"/>
        </w:numPr>
        <w:rPr>
          <w:rFonts w:cs="Arial"/>
          <w:color w:val="1D1D1B"/>
          <w:sz w:val="20"/>
          <w:szCs w:val="20"/>
          <w:lang w:val="en-ZA" w:eastAsia="en-GB"/>
        </w:rPr>
      </w:pPr>
      <w:r w:rsidRPr="00BB5358">
        <w:rPr>
          <w:rFonts w:cs="Arial"/>
          <w:color w:val="1D1D1B"/>
          <w:sz w:val="20"/>
          <w:szCs w:val="20"/>
          <w:lang w:val="en-ZA" w:eastAsia="en-GB"/>
        </w:rPr>
        <w:t>commercial banking.</w:t>
      </w:r>
    </w:p>
    <w:p w:rsidR="00645441" w:rsidRPr="00BB5358" w:rsidRDefault="00645441"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The regulatory environment in which HSBC JOH operates is increasing the cost of doing business and could reduce our future profitability. HSBC continued the ongoing work to strengthen those controls that manage the most material risks. We further developed controls to help ensure that we know our customers, ask the right questions, monitor transactions and escalate concerns to detect, prevent and deter financial crime risk.</w:t>
      </w:r>
    </w:p>
    <w:p w:rsidR="00645441" w:rsidRPr="00BB5358" w:rsidRDefault="00645441"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HSBC JOH has historically adopted, and currently uses, the standardised approach (TSA) in determining the operational risk capital requirement and has in place an operational risk model.</w:t>
      </w:r>
    </w:p>
    <w:p w:rsidR="00645441" w:rsidRPr="00BB5358" w:rsidRDefault="00645441"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HSBC JOH recognises that operational risk losses can be incurred for a wide variety of reasons, including rare but extreme events. The objective of operational risk management is to manage and control operational risk in a cost-effective manner and within risk appetite, as defined by the Risk Management Meeting guided by the Group.</w:t>
      </w:r>
      <w:r w:rsidR="006042E7" w:rsidRPr="00BB5358">
        <w:rPr>
          <w:rFonts w:cs="Arial"/>
          <w:color w:val="1D1D1B"/>
          <w:sz w:val="20"/>
          <w:szCs w:val="20"/>
          <w:lang w:val="en-ZA" w:eastAsia="en-GB"/>
        </w:rPr>
        <w:t xml:space="preserve"> </w:t>
      </w:r>
      <w:r w:rsidR="007A37E7" w:rsidRPr="00BB5358">
        <w:rPr>
          <w:rFonts w:cs="Arial"/>
          <w:color w:val="1D1D1B"/>
          <w:sz w:val="20"/>
          <w:szCs w:val="20"/>
          <w:lang w:val="en-ZA" w:eastAsia="en-GB"/>
        </w:rPr>
        <w:t>Material losses and near-misses are recorded in an event and impact management module in the operational risk management system of record.</w:t>
      </w:r>
    </w:p>
    <w:p w:rsidR="00645441" w:rsidRPr="00BB5358" w:rsidRDefault="00645441" w:rsidP="0062699F">
      <w:pPr>
        <w:rPr>
          <w:rFonts w:cs="Arial"/>
          <w:color w:val="1D1D1B"/>
          <w:sz w:val="20"/>
          <w:szCs w:val="20"/>
          <w:lang w:val="en-ZA" w:eastAsia="en-GB"/>
        </w:rPr>
      </w:pPr>
    </w:p>
    <w:p w:rsidR="00007652"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 xml:space="preserve">Responsibility for managing operational risk lies with </w:t>
      </w:r>
      <w:r w:rsidR="007A37E7" w:rsidRPr="00BB5358">
        <w:rPr>
          <w:rFonts w:cs="Arial"/>
          <w:color w:val="1D1D1B"/>
          <w:sz w:val="20"/>
          <w:szCs w:val="20"/>
          <w:lang w:val="en-ZA" w:eastAsia="en-GB"/>
        </w:rPr>
        <w:t xml:space="preserve">all </w:t>
      </w:r>
      <w:r w:rsidRPr="00BB5358">
        <w:rPr>
          <w:rFonts w:cs="Arial"/>
          <w:color w:val="1D1D1B"/>
          <w:sz w:val="20"/>
          <w:szCs w:val="20"/>
          <w:lang w:val="en-ZA" w:eastAsia="en-GB"/>
        </w:rPr>
        <w:t>HSBC’s employees.</w:t>
      </w:r>
      <w:r w:rsidR="00AE62A9" w:rsidRPr="00BB5358">
        <w:rPr>
          <w:rFonts w:cs="Arial"/>
          <w:color w:val="auto"/>
          <w:sz w:val="16"/>
          <w:szCs w:val="16"/>
          <w:lang w:val="en-ZA" w:eastAsia="en-GB"/>
        </w:rPr>
        <w:t xml:space="preserve"> </w:t>
      </w:r>
      <w:r w:rsidR="00AE62A9" w:rsidRPr="00BB5358">
        <w:rPr>
          <w:rFonts w:cs="Arial"/>
          <w:color w:val="1D1D1B"/>
          <w:sz w:val="20"/>
          <w:szCs w:val="20"/>
          <w:lang w:val="en-ZA" w:eastAsia="en-GB"/>
        </w:rPr>
        <w:t>During 201</w:t>
      </w:r>
      <w:r w:rsidR="00771AD0" w:rsidRPr="00BB5358">
        <w:rPr>
          <w:rFonts w:cs="Arial"/>
          <w:color w:val="1D1D1B"/>
          <w:sz w:val="20"/>
          <w:szCs w:val="20"/>
          <w:lang w:val="en-ZA" w:eastAsia="en-GB"/>
        </w:rPr>
        <w:t>9</w:t>
      </w:r>
      <w:r w:rsidR="00AE62A9" w:rsidRPr="00BB5358">
        <w:rPr>
          <w:rFonts w:cs="Arial"/>
          <w:color w:val="1D1D1B"/>
          <w:sz w:val="20"/>
          <w:szCs w:val="20"/>
          <w:lang w:val="en-ZA" w:eastAsia="en-GB"/>
        </w:rPr>
        <w:t xml:space="preserve"> we continued to strengthen our</w:t>
      </w:r>
      <w:r w:rsidR="00007652" w:rsidRPr="00BB5358">
        <w:rPr>
          <w:rFonts w:cs="Arial"/>
          <w:color w:val="1D1D1B"/>
          <w:sz w:val="20"/>
          <w:szCs w:val="20"/>
          <w:lang w:val="en-ZA" w:eastAsia="en-GB"/>
        </w:rPr>
        <w:t xml:space="preserve"> </w:t>
      </w:r>
      <w:r w:rsidR="00AE62A9" w:rsidRPr="00BB5358">
        <w:rPr>
          <w:rFonts w:cs="Arial"/>
          <w:color w:val="1D1D1B"/>
          <w:sz w:val="20"/>
          <w:szCs w:val="20"/>
          <w:lang w:val="en-ZA" w:eastAsia="en-GB"/>
        </w:rPr>
        <w:t>approach to managing operational risk as set out in the operational risk management framework (‘ORMF’).</w:t>
      </w:r>
      <w:r w:rsidR="00007652" w:rsidRPr="00BB5358">
        <w:rPr>
          <w:rFonts w:cs="Arial"/>
          <w:color w:val="1D1D1B"/>
          <w:sz w:val="20"/>
          <w:szCs w:val="20"/>
          <w:lang w:val="en-ZA" w:eastAsia="en-GB"/>
        </w:rPr>
        <w:t xml:space="preserve"> The approach sets out governance, appetite and provides a single view of non</w:t>
      </w:r>
      <w:r w:rsidR="007A37E7" w:rsidRPr="00BB5358">
        <w:rPr>
          <w:rFonts w:cs="Arial"/>
          <w:color w:val="1D1D1B"/>
          <w:sz w:val="20"/>
          <w:szCs w:val="20"/>
          <w:lang w:val="en-ZA" w:eastAsia="en-GB"/>
        </w:rPr>
        <w:t>-</w:t>
      </w:r>
      <w:r w:rsidR="00007652" w:rsidRPr="00BB5358">
        <w:rPr>
          <w:rFonts w:cs="Arial"/>
          <w:color w:val="1D1D1B"/>
          <w:sz w:val="20"/>
          <w:szCs w:val="20"/>
          <w:lang w:val="en-ZA" w:eastAsia="en-GB"/>
        </w:rPr>
        <w:t>financial risks, and associated controls. It incorporates a risk management system to enable active risk management. The enhancement and embedding of the risk appetite framework for non-financial risk, and the improvement of the consistency of the adoption of the end-to-end risk and control assessment processes</w:t>
      </w:r>
      <w:r w:rsidR="00771AD0" w:rsidRPr="00BB5358">
        <w:rPr>
          <w:rFonts w:cs="Arial"/>
          <w:color w:val="1D1D1B"/>
          <w:sz w:val="20"/>
          <w:szCs w:val="20"/>
          <w:lang w:val="en-ZA" w:eastAsia="en-GB"/>
        </w:rPr>
        <w:t xml:space="preserve"> were a particular focus in 2019</w:t>
      </w:r>
      <w:r w:rsidR="00007652" w:rsidRPr="00BB5358">
        <w:rPr>
          <w:rFonts w:cs="Arial"/>
          <w:color w:val="1D1D1B"/>
          <w:sz w:val="20"/>
          <w:szCs w:val="20"/>
          <w:lang w:val="en-ZA" w:eastAsia="en-GB"/>
        </w:rPr>
        <w:t>. While there remains more to do, we made progress in strengthening the control environment and the management</w:t>
      </w:r>
      <w:r w:rsidR="007A37E7" w:rsidRPr="00BB5358">
        <w:rPr>
          <w:rFonts w:cs="Arial"/>
          <w:color w:val="1D1D1B"/>
          <w:sz w:val="20"/>
          <w:szCs w:val="20"/>
          <w:lang w:val="en-ZA" w:eastAsia="en-GB"/>
        </w:rPr>
        <w:t xml:space="preserve"> of non-financial risk. Activities</w:t>
      </w:r>
      <w:r w:rsidR="00007652" w:rsidRPr="00BB5358">
        <w:rPr>
          <w:rFonts w:cs="Arial"/>
          <w:color w:val="1D1D1B"/>
          <w:sz w:val="20"/>
          <w:szCs w:val="20"/>
          <w:lang w:val="en-ZA" w:eastAsia="en-GB"/>
        </w:rPr>
        <w:t xml:space="preserve"> to strengthen the three lines of defence model, continued to be a key focus in 201</w:t>
      </w:r>
      <w:r w:rsidR="00771AD0" w:rsidRPr="00BB5358">
        <w:rPr>
          <w:rFonts w:cs="Arial"/>
          <w:color w:val="1D1D1B"/>
          <w:sz w:val="20"/>
          <w:szCs w:val="20"/>
          <w:lang w:val="en-ZA" w:eastAsia="en-GB"/>
        </w:rPr>
        <w:t>9</w:t>
      </w:r>
      <w:r w:rsidR="00007652" w:rsidRPr="00BB5358">
        <w:rPr>
          <w:rFonts w:cs="Arial"/>
          <w:color w:val="1D1D1B"/>
          <w:sz w:val="20"/>
          <w:szCs w:val="20"/>
          <w:lang w:val="en-ZA" w:eastAsia="en-GB"/>
        </w:rPr>
        <w:t>.</w:t>
      </w:r>
      <w:r w:rsidRPr="00BB5358">
        <w:rPr>
          <w:rFonts w:cs="Arial"/>
          <w:color w:val="1D1D1B"/>
          <w:sz w:val="20"/>
          <w:szCs w:val="20"/>
          <w:lang w:val="en-ZA" w:eastAsia="en-GB"/>
        </w:rPr>
        <w:t xml:space="preserve"> </w:t>
      </w:r>
    </w:p>
    <w:p w:rsidR="00007652" w:rsidRPr="00BB5358" w:rsidRDefault="00007652"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The first line of defence owns the risk and is responsible for identifying, recording, reporting, managing the risks and ensuring that the right controls and assessments are in place to mitigate these risks. The second line of defence sets the policy and guidelines for managing the risks and provides advice, guidance and challenge to the first line of defence on effective risk management. The third line of defence is Internal Audit which independently ensures we are managing risk effectively.</w:t>
      </w:r>
    </w:p>
    <w:p w:rsidR="00645441" w:rsidRDefault="00645441" w:rsidP="0062699F">
      <w:pPr>
        <w:rPr>
          <w:rFonts w:ascii="Univers-Light-Normal" w:hAnsi="Univers-Light-Normal" w:cs="Univers-Light-Normal"/>
          <w:color w:val="1D1D1B"/>
          <w:sz w:val="20"/>
          <w:szCs w:val="20"/>
          <w:lang w:val="en-ZA" w:eastAsia="en-GB"/>
        </w:rPr>
      </w:pPr>
    </w:p>
    <w:p w:rsidR="00932187" w:rsidRDefault="00932187" w:rsidP="0062699F">
      <w:pPr>
        <w:rPr>
          <w:rFonts w:ascii="Univers-Light-Normal" w:hAnsi="Univers-Light-Normal" w:cs="Univers-Light-Normal"/>
          <w:color w:val="1D1D1B"/>
          <w:sz w:val="20"/>
          <w:szCs w:val="20"/>
          <w:lang w:val="en-ZA" w:eastAsia="en-GB"/>
        </w:rPr>
      </w:pPr>
      <w:r>
        <w:rPr>
          <w:rFonts w:ascii="Univers-Light-Normal" w:hAnsi="Univers-Light-Normal" w:cs="Univers-Light-Normal"/>
          <w:color w:val="1D1D1B"/>
          <w:sz w:val="20"/>
          <w:szCs w:val="20"/>
          <w:lang w:val="en-ZA" w:eastAsia="en-GB"/>
        </w:rPr>
        <w:br w:type="page"/>
      </w: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lastRenderedPageBreak/>
        <w:t xml:space="preserve">At HSBC JOH business managers are responsible for maintaining an appropriate level of internal control, commensurate with the scale and nature of operations. They are responsible for identifying and assessing </w:t>
      </w:r>
      <w:r w:rsidR="007A37E7" w:rsidRPr="00BB5358">
        <w:rPr>
          <w:rFonts w:cs="Arial"/>
          <w:color w:val="1D1D1B"/>
          <w:sz w:val="20"/>
          <w:szCs w:val="20"/>
          <w:lang w:val="en-ZA" w:eastAsia="en-GB"/>
        </w:rPr>
        <w:t xml:space="preserve">material </w:t>
      </w:r>
      <w:r w:rsidRPr="00BB5358">
        <w:rPr>
          <w:rFonts w:cs="Arial"/>
          <w:color w:val="1D1D1B"/>
          <w:sz w:val="20"/>
          <w:szCs w:val="20"/>
          <w:lang w:val="en-ZA" w:eastAsia="en-GB"/>
        </w:rPr>
        <w:t xml:space="preserve">risks, designing </w:t>
      </w:r>
      <w:r w:rsidR="007A37E7" w:rsidRPr="00BB5358">
        <w:rPr>
          <w:rFonts w:cs="Arial"/>
          <w:color w:val="1D1D1B"/>
          <w:sz w:val="20"/>
          <w:szCs w:val="20"/>
          <w:lang w:val="en-ZA" w:eastAsia="en-GB"/>
        </w:rPr>
        <w:t xml:space="preserve">key </w:t>
      </w:r>
      <w:r w:rsidRPr="00BB5358">
        <w:rPr>
          <w:rFonts w:cs="Arial"/>
          <w:color w:val="1D1D1B"/>
          <w:sz w:val="20"/>
          <w:szCs w:val="20"/>
          <w:lang w:val="en-ZA" w:eastAsia="en-GB"/>
        </w:rPr>
        <w:t>controls and monitoring the effectiveness of these controls. The ORMF helps managers to fulfil these responsibilities by defining a standard risk assessment methodology and providing a tool for the systematic reporting of operational loss data.</w:t>
      </w:r>
    </w:p>
    <w:p w:rsidR="00645441" w:rsidRPr="00BB5358" w:rsidRDefault="00645441"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Operational risk and control assessments are performed by HSBC JOH global business and product units:</w:t>
      </w:r>
    </w:p>
    <w:p w:rsidR="00932187" w:rsidRPr="00BB5358" w:rsidRDefault="00932187" w:rsidP="0062699F">
      <w:pPr>
        <w:rPr>
          <w:rFonts w:cs="Arial"/>
          <w:color w:val="1D1D1B"/>
          <w:sz w:val="20"/>
          <w:szCs w:val="20"/>
          <w:lang w:val="en-ZA" w:eastAsia="en-GB"/>
        </w:rPr>
      </w:pPr>
    </w:p>
    <w:p w:rsidR="00645441" w:rsidRPr="00BB5358" w:rsidRDefault="00932187" w:rsidP="0062699F">
      <w:pPr>
        <w:pStyle w:val="ListParagraph"/>
        <w:numPr>
          <w:ilvl w:val="0"/>
          <w:numId w:val="20"/>
        </w:numPr>
        <w:rPr>
          <w:rFonts w:cs="Arial"/>
          <w:color w:val="1D1D1B"/>
          <w:sz w:val="20"/>
          <w:szCs w:val="20"/>
          <w:lang w:val="en-ZA" w:eastAsia="en-GB"/>
        </w:rPr>
      </w:pPr>
      <w:r w:rsidRPr="00BB5358">
        <w:rPr>
          <w:rFonts w:cs="Arial"/>
          <w:color w:val="1D1D1B"/>
          <w:sz w:val="20"/>
          <w:szCs w:val="20"/>
          <w:lang w:val="en-ZA" w:eastAsia="en-GB"/>
        </w:rPr>
        <w:t>Global Banking and Commercial Banking</w:t>
      </w:r>
      <w:r w:rsidR="00645441" w:rsidRPr="00BB5358">
        <w:rPr>
          <w:rFonts w:cs="Arial"/>
          <w:color w:val="1D1D1B"/>
          <w:sz w:val="20"/>
          <w:szCs w:val="20"/>
          <w:lang w:val="en-ZA" w:eastAsia="en-GB"/>
        </w:rPr>
        <w:t>;</w:t>
      </w:r>
    </w:p>
    <w:p w:rsidR="00645441" w:rsidRPr="00BB5358" w:rsidRDefault="00645441" w:rsidP="0062699F">
      <w:pPr>
        <w:pStyle w:val="ListParagraph"/>
        <w:numPr>
          <w:ilvl w:val="0"/>
          <w:numId w:val="20"/>
        </w:numPr>
        <w:rPr>
          <w:rFonts w:cs="Arial"/>
          <w:color w:val="1D1D1B"/>
          <w:sz w:val="20"/>
          <w:szCs w:val="20"/>
          <w:lang w:val="en-ZA" w:eastAsia="en-GB"/>
        </w:rPr>
      </w:pPr>
      <w:r w:rsidRPr="00BB5358">
        <w:rPr>
          <w:rFonts w:cs="Arial"/>
          <w:color w:val="1D1D1B"/>
          <w:sz w:val="20"/>
          <w:szCs w:val="20"/>
          <w:lang w:val="en-ZA" w:eastAsia="en-GB"/>
        </w:rPr>
        <w:t>Global Markets;</w:t>
      </w:r>
    </w:p>
    <w:p w:rsidR="00645441" w:rsidRPr="00BB5358" w:rsidRDefault="00B41E68" w:rsidP="0062699F">
      <w:pPr>
        <w:pStyle w:val="ListParagraph"/>
        <w:numPr>
          <w:ilvl w:val="0"/>
          <w:numId w:val="20"/>
        </w:numPr>
        <w:rPr>
          <w:rFonts w:cs="Arial"/>
          <w:color w:val="1D1D1B"/>
          <w:sz w:val="20"/>
          <w:szCs w:val="20"/>
          <w:lang w:val="en-ZA" w:eastAsia="en-GB"/>
        </w:rPr>
      </w:pPr>
      <w:r w:rsidRPr="00BB5358">
        <w:rPr>
          <w:rFonts w:cs="Arial"/>
          <w:color w:val="1D1D1B"/>
          <w:sz w:val="20"/>
          <w:szCs w:val="20"/>
          <w:lang w:val="en-ZA" w:eastAsia="en-GB"/>
        </w:rPr>
        <w:t>Glo</w:t>
      </w:r>
      <w:r w:rsidR="00443255" w:rsidRPr="00BB5358">
        <w:rPr>
          <w:rFonts w:cs="Arial"/>
          <w:color w:val="1D1D1B"/>
          <w:sz w:val="20"/>
          <w:szCs w:val="20"/>
          <w:lang w:val="en-ZA" w:eastAsia="en-GB"/>
        </w:rPr>
        <w:t>bal Trade and Receivable Finance</w:t>
      </w:r>
      <w:r w:rsidRPr="00BB5358">
        <w:rPr>
          <w:rFonts w:cs="Arial"/>
          <w:color w:val="1D1D1B"/>
          <w:sz w:val="20"/>
          <w:szCs w:val="20"/>
          <w:lang w:val="en-ZA" w:eastAsia="en-GB"/>
        </w:rPr>
        <w:t>;</w:t>
      </w:r>
      <w:r w:rsidR="00443255" w:rsidRPr="00BB5358">
        <w:rPr>
          <w:rFonts w:cs="Arial"/>
          <w:color w:val="1D1D1B"/>
          <w:sz w:val="20"/>
          <w:szCs w:val="20"/>
          <w:lang w:val="en-ZA" w:eastAsia="en-GB"/>
        </w:rPr>
        <w:t xml:space="preserve"> </w:t>
      </w:r>
      <w:r w:rsidRPr="00BB5358">
        <w:rPr>
          <w:rFonts w:cs="Arial"/>
          <w:color w:val="1D1D1B"/>
          <w:sz w:val="20"/>
          <w:szCs w:val="20"/>
          <w:lang w:val="en-ZA" w:eastAsia="en-GB"/>
        </w:rPr>
        <w:t>and</w:t>
      </w:r>
    </w:p>
    <w:p w:rsidR="00932187" w:rsidRPr="00BB5358" w:rsidRDefault="00B41E68" w:rsidP="0062699F">
      <w:pPr>
        <w:pStyle w:val="ListParagraph"/>
        <w:numPr>
          <w:ilvl w:val="0"/>
          <w:numId w:val="20"/>
        </w:numPr>
        <w:rPr>
          <w:rFonts w:cs="Arial"/>
          <w:color w:val="1D1D1B"/>
          <w:sz w:val="20"/>
          <w:szCs w:val="20"/>
          <w:lang w:val="en-ZA" w:eastAsia="en-GB"/>
        </w:rPr>
      </w:pPr>
      <w:r w:rsidRPr="00BB5358">
        <w:rPr>
          <w:rFonts w:cs="Arial"/>
          <w:color w:val="1D1D1B"/>
          <w:sz w:val="20"/>
          <w:szCs w:val="20"/>
          <w:lang w:val="en-ZA" w:eastAsia="en-GB"/>
        </w:rPr>
        <w:t>Global Liquidity and Cash management.</w:t>
      </w:r>
    </w:p>
    <w:p w:rsidR="00932187" w:rsidRPr="00BB5358" w:rsidRDefault="00932187" w:rsidP="0062699F">
      <w:pPr>
        <w:pStyle w:val="ListParagraph"/>
        <w:rPr>
          <w:rFonts w:cs="Arial"/>
          <w:color w:val="1D1D1B"/>
          <w:sz w:val="20"/>
          <w:szCs w:val="20"/>
          <w:lang w:val="en-ZA" w:eastAsia="en-GB"/>
        </w:rPr>
      </w:pPr>
    </w:p>
    <w:p w:rsidR="00645441" w:rsidRPr="00BB5358" w:rsidRDefault="007A37E7" w:rsidP="0062699F">
      <w:pPr>
        <w:rPr>
          <w:rFonts w:cs="Arial"/>
          <w:color w:val="1D1D1B"/>
          <w:sz w:val="20"/>
          <w:szCs w:val="20"/>
          <w:lang w:val="en-ZA" w:eastAsia="en-GB"/>
        </w:rPr>
      </w:pPr>
      <w:r w:rsidRPr="00BB5358">
        <w:rPr>
          <w:rFonts w:cs="Arial"/>
          <w:color w:val="1D1D1B"/>
          <w:sz w:val="20"/>
          <w:szCs w:val="20"/>
          <w:lang w:val="en-ZA" w:eastAsia="en-GB"/>
        </w:rPr>
        <w:t xml:space="preserve">Key controls are owned and operated by global businesses and/or by global functions </w:t>
      </w:r>
      <w:r w:rsidR="004E0477">
        <w:rPr>
          <w:rFonts w:cs="Arial"/>
          <w:color w:val="1D1D1B"/>
          <w:sz w:val="20"/>
          <w:szCs w:val="20"/>
          <w:lang w:val="en-ZA" w:eastAsia="en-GB"/>
        </w:rPr>
        <w:t xml:space="preserve">including </w:t>
      </w:r>
      <w:r w:rsidRPr="00BB5358">
        <w:rPr>
          <w:rFonts w:cs="Arial"/>
          <w:color w:val="1D1D1B"/>
          <w:sz w:val="20"/>
          <w:szCs w:val="20"/>
          <w:lang w:val="en-ZA" w:eastAsia="en-GB"/>
        </w:rPr>
        <w:t>(HOST)</w:t>
      </w:r>
      <w:r w:rsidR="00932187" w:rsidRPr="00BB5358">
        <w:rPr>
          <w:rFonts w:cs="Arial"/>
          <w:color w:val="1D1D1B"/>
          <w:sz w:val="20"/>
          <w:szCs w:val="20"/>
          <w:lang w:val="en-ZA" w:eastAsia="en-GB"/>
        </w:rPr>
        <w:tab/>
      </w:r>
    </w:p>
    <w:p w:rsidR="00932187" w:rsidRPr="00BB5358" w:rsidRDefault="00932187" w:rsidP="0062699F">
      <w:pPr>
        <w:tabs>
          <w:tab w:val="left" w:pos="1420"/>
        </w:tabs>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The risk and control assessment process is designed to provide business areas and functions with a forward-looking view of operational risks, an assessment of the effectiveness of controls, and a tracking mechanism for action plans so that they can proactively manage operational risks within acceptable levels.</w:t>
      </w:r>
    </w:p>
    <w:p w:rsidR="00645441" w:rsidRPr="00BB5358" w:rsidRDefault="00645441" w:rsidP="0062699F">
      <w:pPr>
        <w:rPr>
          <w:rFonts w:cs="Arial"/>
          <w:color w:val="1D1D1B"/>
          <w:sz w:val="20"/>
          <w:szCs w:val="20"/>
          <w:lang w:val="en-ZA" w:eastAsia="en-GB"/>
        </w:rPr>
      </w:pPr>
    </w:p>
    <w:p w:rsidR="00645441" w:rsidRPr="00BB5358" w:rsidRDefault="00645441" w:rsidP="0062699F">
      <w:pPr>
        <w:rPr>
          <w:rFonts w:cs="Arial"/>
          <w:color w:val="1D1D1B"/>
          <w:sz w:val="20"/>
          <w:szCs w:val="20"/>
          <w:lang w:val="en-ZA" w:eastAsia="en-GB"/>
        </w:rPr>
      </w:pPr>
      <w:r w:rsidRPr="00BB5358">
        <w:rPr>
          <w:rFonts w:cs="Arial"/>
          <w:color w:val="1D1D1B"/>
          <w:sz w:val="20"/>
          <w:szCs w:val="20"/>
          <w:lang w:val="en-ZA" w:eastAsia="en-GB"/>
        </w:rPr>
        <w:t>HSBC JOH us</w:t>
      </w:r>
      <w:r w:rsidR="007A37E7" w:rsidRPr="00BB5358">
        <w:rPr>
          <w:rFonts w:cs="Arial"/>
          <w:color w:val="1D1D1B"/>
          <w:sz w:val="20"/>
          <w:szCs w:val="20"/>
          <w:lang w:val="en-ZA" w:eastAsia="en-GB"/>
        </w:rPr>
        <w:t>es a g</w:t>
      </w:r>
      <w:r w:rsidRPr="00BB5358">
        <w:rPr>
          <w:rFonts w:cs="Arial"/>
          <w:color w:val="1D1D1B"/>
          <w:sz w:val="20"/>
          <w:szCs w:val="20"/>
          <w:lang w:val="en-ZA" w:eastAsia="en-GB"/>
        </w:rPr>
        <w:t>roup-wide</w:t>
      </w:r>
      <w:r w:rsidR="007A37E7" w:rsidRPr="00BB5358">
        <w:rPr>
          <w:rFonts w:cs="Arial"/>
          <w:color w:val="1D1D1B"/>
          <w:sz w:val="20"/>
          <w:szCs w:val="20"/>
          <w:lang w:val="en-ZA" w:eastAsia="en-GB"/>
        </w:rPr>
        <w:t xml:space="preserve"> operational</w:t>
      </w:r>
      <w:r w:rsidRPr="00BB5358">
        <w:rPr>
          <w:rFonts w:cs="Arial"/>
          <w:color w:val="1D1D1B"/>
          <w:sz w:val="20"/>
          <w:szCs w:val="20"/>
          <w:lang w:val="en-ZA" w:eastAsia="en-GB"/>
        </w:rPr>
        <w:t xml:space="preserve"> risk management system to record the results of our operational risk management process.</w:t>
      </w:r>
    </w:p>
    <w:p w:rsidR="00645441" w:rsidRPr="00BB5358" w:rsidRDefault="00645441" w:rsidP="0062699F">
      <w:pPr>
        <w:rPr>
          <w:rFonts w:cs="Arial"/>
          <w:color w:val="1D1D1B"/>
          <w:sz w:val="20"/>
          <w:szCs w:val="20"/>
          <w:lang w:val="en-ZA" w:eastAsia="en-GB"/>
        </w:rPr>
      </w:pPr>
    </w:p>
    <w:p w:rsidR="001903E1" w:rsidRPr="00BB5358" w:rsidRDefault="004E0477" w:rsidP="0062699F">
      <w:pPr>
        <w:rPr>
          <w:rFonts w:cs="Arial"/>
          <w:color w:val="1D1D1B"/>
          <w:sz w:val="20"/>
          <w:szCs w:val="20"/>
          <w:lang w:val="en-ZA" w:eastAsia="en-GB"/>
        </w:rPr>
      </w:pPr>
      <w:r>
        <w:rPr>
          <w:rFonts w:cs="Arial"/>
          <w:color w:val="1D1D1B"/>
          <w:sz w:val="20"/>
          <w:szCs w:val="20"/>
          <w:lang w:val="en-ZA" w:eastAsia="en-GB"/>
        </w:rPr>
        <w:t>Operational</w:t>
      </w:r>
      <w:r w:rsidR="00645441" w:rsidRPr="00BB5358">
        <w:rPr>
          <w:rFonts w:cs="Arial"/>
          <w:color w:val="1D1D1B"/>
          <w:sz w:val="20"/>
          <w:szCs w:val="20"/>
          <w:lang w:val="en-ZA" w:eastAsia="en-GB"/>
        </w:rPr>
        <w:t xml:space="preserve"> Risk RWA’s </w:t>
      </w:r>
      <w:r w:rsidR="000221B0" w:rsidRPr="00BB5358">
        <w:rPr>
          <w:rFonts w:cs="Arial"/>
          <w:color w:val="1D1D1B"/>
          <w:sz w:val="20"/>
          <w:szCs w:val="20"/>
          <w:lang w:val="en-ZA" w:eastAsia="en-GB"/>
        </w:rPr>
        <w:t xml:space="preserve">remained </w:t>
      </w:r>
      <w:r w:rsidR="00A42289" w:rsidRPr="00BB5358">
        <w:rPr>
          <w:rFonts w:cs="Arial"/>
          <w:color w:val="1D1D1B"/>
          <w:sz w:val="20"/>
          <w:szCs w:val="20"/>
          <w:lang w:val="en-ZA" w:eastAsia="en-GB"/>
        </w:rPr>
        <w:t>consistent</w:t>
      </w:r>
      <w:r w:rsidR="000221B0" w:rsidRPr="00BB5358">
        <w:rPr>
          <w:rFonts w:cs="Arial"/>
          <w:color w:val="1D1D1B"/>
          <w:sz w:val="20"/>
          <w:szCs w:val="20"/>
          <w:lang w:val="en-ZA" w:eastAsia="en-GB"/>
        </w:rPr>
        <w:t xml:space="preserve"> with 201</w:t>
      </w:r>
      <w:r>
        <w:rPr>
          <w:rFonts w:cs="Arial"/>
          <w:color w:val="1D1D1B"/>
          <w:sz w:val="20"/>
          <w:szCs w:val="20"/>
          <w:lang w:val="en-ZA" w:eastAsia="en-GB"/>
        </w:rPr>
        <w:t>8</w:t>
      </w:r>
      <w:r w:rsidR="000221B0" w:rsidRPr="00BB5358">
        <w:rPr>
          <w:rFonts w:cs="Arial"/>
          <w:color w:val="1D1D1B"/>
          <w:sz w:val="20"/>
          <w:szCs w:val="20"/>
          <w:lang w:val="en-ZA" w:eastAsia="en-GB"/>
        </w:rPr>
        <w:t>.</w:t>
      </w:r>
    </w:p>
    <w:p w:rsidR="000221B0" w:rsidRPr="00BB5358" w:rsidRDefault="000221B0" w:rsidP="0062699F">
      <w:pPr>
        <w:rPr>
          <w:rFonts w:cs="Arial"/>
          <w:color w:val="1D1D1B"/>
          <w:lang w:val="en-ZA" w:eastAsia="en-GB"/>
        </w:rPr>
      </w:pPr>
    </w:p>
    <w:p w:rsidR="001903E1" w:rsidRPr="00FD6F60" w:rsidRDefault="001903E1" w:rsidP="0062699F">
      <w:pPr>
        <w:pStyle w:val="BodyText1"/>
        <w:outlineLvl w:val="1"/>
        <w:rPr>
          <w:color w:val="FF0000"/>
          <w:sz w:val="24"/>
          <w:szCs w:val="24"/>
        </w:rPr>
      </w:pPr>
      <w:bookmarkStart w:id="45" w:name="_Toc22895985"/>
      <w:r w:rsidRPr="00FD6F60">
        <w:rPr>
          <w:color w:val="FF0000"/>
          <w:sz w:val="24"/>
          <w:szCs w:val="24"/>
        </w:rPr>
        <w:t xml:space="preserve">Table </w:t>
      </w:r>
      <w:r w:rsidR="00771AD0">
        <w:rPr>
          <w:color w:val="FF0000"/>
          <w:sz w:val="24"/>
          <w:szCs w:val="24"/>
        </w:rPr>
        <w:t>19</w:t>
      </w:r>
      <w:r w:rsidRPr="00FD6F60">
        <w:rPr>
          <w:color w:val="FF0000"/>
          <w:sz w:val="24"/>
          <w:szCs w:val="24"/>
        </w:rPr>
        <w:t>: Operational risk RWA’s</w:t>
      </w:r>
      <w:bookmarkEnd w:id="45"/>
    </w:p>
    <w:p w:rsidR="001903E1" w:rsidRDefault="001903E1" w:rsidP="0062699F">
      <w:pPr>
        <w:rPr>
          <w:rFonts w:ascii="Univers-Light-Normal" w:hAnsi="Univers-Light-Normal" w:cs="Univers-Light-Normal"/>
          <w:color w:val="1D1D1B"/>
          <w:sz w:val="20"/>
          <w:szCs w:val="20"/>
          <w:lang w:val="en-ZA" w:eastAsia="en-GB"/>
        </w:rPr>
      </w:pPr>
    </w:p>
    <w:p w:rsidR="00645441" w:rsidRDefault="00645441" w:rsidP="0062699F">
      <w:pPr>
        <w:rPr>
          <w:rFonts w:ascii="Univers-Light-Normal" w:hAnsi="Univers-Light-Normal" w:cs="Univers-Light-Normal"/>
          <w:color w:val="1D1D1B"/>
          <w:sz w:val="20"/>
          <w:szCs w:val="20"/>
          <w:lang w:val="en-ZA" w:eastAsia="en-GB"/>
        </w:rPr>
      </w:pPr>
    </w:p>
    <w:p w:rsidR="00293E3D" w:rsidRDefault="00771AD0" w:rsidP="0062699F">
      <w:pPr>
        <w:rPr>
          <w:rFonts w:ascii="Univers-Light-Normal" w:hAnsi="Univers-Light-Normal" w:cs="Univers-Light-Normal"/>
          <w:color w:val="1D1D1B"/>
          <w:sz w:val="20"/>
          <w:szCs w:val="20"/>
          <w:lang w:val="en-ZA" w:eastAsia="en-GB"/>
        </w:rPr>
      </w:pPr>
      <w:r w:rsidRPr="00771AD0">
        <w:rPr>
          <w:noProof/>
          <w:lang w:val="en-ZA" w:eastAsia="en-ZA"/>
        </w:rPr>
        <w:drawing>
          <wp:inline distT="0" distB="0" distL="0" distR="0">
            <wp:extent cx="6336665" cy="52243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6665" cy="522438"/>
                    </a:xfrm>
                    <a:prstGeom prst="rect">
                      <a:avLst/>
                    </a:prstGeom>
                    <a:noFill/>
                    <a:ln>
                      <a:noFill/>
                    </a:ln>
                  </pic:spPr>
                </pic:pic>
              </a:graphicData>
            </a:graphic>
          </wp:inline>
        </w:drawing>
      </w:r>
    </w:p>
    <w:p w:rsidR="00293E3D" w:rsidRDefault="00293E3D" w:rsidP="0062699F">
      <w:pPr>
        <w:rPr>
          <w:rFonts w:ascii="Univers-Light-Normal" w:hAnsi="Univers-Light-Normal" w:cs="Univers-Light-Normal"/>
          <w:color w:val="1D1D1B"/>
          <w:sz w:val="20"/>
          <w:szCs w:val="20"/>
          <w:lang w:val="en-ZA" w:eastAsia="en-GB"/>
        </w:rPr>
      </w:pPr>
    </w:p>
    <w:p w:rsidR="00E6371B" w:rsidRPr="00645441" w:rsidRDefault="00E6371B" w:rsidP="0062699F">
      <w:pPr>
        <w:rPr>
          <w:rFonts w:ascii="Univers-Light-Normal" w:hAnsi="Univers-Light-Normal" w:cs="Univers-Light-Normal"/>
          <w:color w:val="1D1D1B"/>
          <w:sz w:val="20"/>
          <w:szCs w:val="20"/>
          <w:lang w:val="en-ZA" w:eastAsia="en-GB"/>
        </w:rPr>
      </w:pPr>
      <w:r w:rsidRPr="00645441">
        <w:rPr>
          <w:rFonts w:ascii="Univers-Light-Normal" w:hAnsi="Univers-Light-Normal" w:cs="Univers-Light-Normal"/>
          <w:color w:val="1D1D1B"/>
          <w:sz w:val="20"/>
          <w:szCs w:val="20"/>
          <w:lang w:val="en-ZA" w:eastAsia="en-GB"/>
        </w:rPr>
        <w:br w:type="page"/>
      </w:r>
    </w:p>
    <w:p w:rsidR="00E6371B" w:rsidRPr="00C572DB" w:rsidRDefault="00E6371B" w:rsidP="0062699F">
      <w:pPr>
        <w:pStyle w:val="BodyText1"/>
        <w:outlineLvl w:val="0"/>
        <w:rPr>
          <w:noProof/>
          <w:color w:val="FF0000"/>
          <w:sz w:val="44"/>
          <w:szCs w:val="44"/>
          <w:lang w:val="en-ZA" w:eastAsia="en-ZA"/>
        </w:rPr>
      </w:pPr>
      <w:bookmarkStart w:id="46" w:name="_Toc22895986"/>
      <w:r w:rsidRPr="00C572DB">
        <w:rPr>
          <w:noProof/>
          <w:color w:val="FF0000"/>
          <w:sz w:val="44"/>
          <w:szCs w:val="44"/>
          <w:lang w:val="en-ZA" w:eastAsia="en-ZA"/>
        </w:rPr>
        <w:lastRenderedPageBreak/>
        <w:t>Remuneration</w:t>
      </w:r>
      <w:bookmarkEnd w:id="46"/>
    </w:p>
    <w:p w:rsidR="00E6371B" w:rsidRDefault="00E6371B" w:rsidP="0062699F">
      <w:pPr>
        <w:rPr>
          <w:rFonts w:ascii="UniversLTStd-Bold" w:hAnsi="UniversLTStd-Bold" w:cs="UniversLTStd-Bold"/>
          <w:b/>
          <w:bCs/>
          <w:color w:val="DC0011"/>
          <w:sz w:val="30"/>
          <w:szCs w:val="30"/>
          <w:lang w:val="en-ZA" w:eastAsia="en-GB"/>
        </w:rPr>
      </w:pPr>
    </w:p>
    <w:p w:rsidR="00E6371B" w:rsidRDefault="00E6371B" w:rsidP="0062699F">
      <w:pPr>
        <w:rPr>
          <w:rFonts w:cs="Arial"/>
          <w:color w:val="auto"/>
          <w:sz w:val="20"/>
          <w:szCs w:val="20"/>
        </w:rPr>
      </w:pPr>
      <w:r w:rsidRPr="00E6371B">
        <w:rPr>
          <w:rFonts w:cs="Arial"/>
          <w:color w:val="auto"/>
          <w:sz w:val="20"/>
          <w:szCs w:val="20"/>
        </w:rPr>
        <w:t xml:space="preserve">HSBC JOH follows the approach adopted by the </w:t>
      </w:r>
      <w:r w:rsidR="00932187">
        <w:rPr>
          <w:rFonts w:cs="Arial"/>
          <w:color w:val="auto"/>
          <w:sz w:val="20"/>
          <w:szCs w:val="20"/>
        </w:rPr>
        <w:t>G</w:t>
      </w:r>
      <w:r w:rsidRPr="00E6371B">
        <w:rPr>
          <w:rFonts w:cs="Arial"/>
          <w:color w:val="auto"/>
          <w:sz w:val="20"/>
          <w:szCs w:val="20"/>
        </w:rPr>
        <w:t>roup. The principle purpose of HBSC group’s remuneration strategy is to reward competitively the achievement of long-term sustainable performance and attract and motivate the very best people who are committed to maintaining a long-term career with the group and performing their role in the long-term interests of the shareholders. A global reward strategy for the HSBC group was approved by the Group Remuneration Committee. This strategy provided a reward framework for the group which HSBC JOH follows. Key principles of the remuneration strategy are:</w:t>
      </w:r>
    </w:p>
    <w:p w:rsidR="00E6371B" w:rsidRPr="00E6371B" w:rsidRDefault="00E6371B" w:rsidP="0062699F">
      <w:pPr>
        <w:rPr>
          <w:rFonts w:cs="Arial"/>
          <w:color w:val="auto"/>
          <w:sz w:val="20"/>
          <w:szCs w:val="20"/>
        </w:rPr>
      </w:pPr>
    </w:p>
    <w:p w:rsidR="00E6371B" w:rsidRPr="00D97DE4" w:rsidRDefault="00E6371B" w:rsidP="0062699F">
      <w:pPr>
        <w:pStyle w:val="ListParagraph"/>
        <w:numPr>
          <w:ilvl w:val="0"/>
          <w:numId w:val="18"/>
        </w:numPr>
        <w:rPr>
          <w:rFonts w:cs="Arial"/>
          <w:color w:val="auto"/>
          <w:sz w:val="20"/>
          <w:szCs w:val="20"/>
        </w:rPr>
      </w:pPr>
      <w:r w:rsidRPr="00D97DE4">
        <w:rPr>
          <w:rFonts w:cs="Arial"/>
          <w:color w:val="auto"/>
          <w:sz w:val="20"/>
          <w:szCs w:val="20"/>
        </w:rPr>
        <w:t>Assess performance and values-aligned behavior with reference to clear and relevant objectives set within a balanced scorecard framework;</w:t>
      </w:r>
    </w:p>
    <w:p w:rsidR="00E6371B" w:rsidRPr="00D97DE4" w:rsidRDefault="00E6371B" w:rsidP="0062699F">
      <w:pPr>
        <w:pStyle w:val="ListParagraph"/>
        <w:numPr>
          <w:ilvl w:val="0"/>
          <w:numId w:val="18"/>
        </w:numPr>
        <w:rPr>
          <w:rFonts w:cs="Arial"/>
          <w:color w:val="auto"/>
          <w:sz w:val="20"/>
          <w:szCs w:val="20"/>
        </w:rPr>
      </w:pPr>
      <w:r w:rsidRPr="00D97DE4">
        <w:rPr>
          <w:rFonts w:cs="Arial"/>
          <w:color w:val="auto"/>
          <w:sz w:val="20"/>
          <w:szCs w:val="20"/>
        </w:rPr>
        <w:t>Under this framework, objectives are set under four categories – financial, process (including risk mitigation), customer and people. Significant importance is given to the achievement of efficiency and risk objectives as well as financial objectives; and</w:t>
      </w:r>
    </w:p>
    <w:p w:rsidR="00E6371B" w:rsidRPr="00D97DE4" w:rsidRDefault="00E6371B" w:rsidP="0062699F">
      <w:pPr>
        <w:pStyle w:val="ListParagraph"/>
        <w:numPr>
          <w:ilvl w:val="0"/>
          <w:numId w:val="18"/>
        </w:numPr>
        <w:rPr>
          <w:rFonts w:cs="Arial"/>
          <w:color w:val="auto"/>
          <w:sz w:val="20"/>
          <w:szCs w:val="20"/>
        </w:rPr>
      </w:pPr>
      <w:r w:rsidRPr="00D97DE4">
        <w:rPr>
          <w:rFonts w:cs="Arial"/>
          <w:color w:val="auto"/>
          <w:sz w:val="20"/>
          <w:szCs w:val="20"/>
        </w:rPr>
        <w:t>Objectives relating to customer development and the productivity of human capital are key to sustained financial performance and the development of HSBC JOH and group over the short and medium term.</w:t>
      </w:r>
    </w:p>
    <w:p w:rsidR="00E6371B" w:rsidRPr="00E6371B" w:rsidRDefault="00E6371B" w:rsidP="0062699F">
      <w:pPr>
        <w:rPr>
          <w:rFonts w:cs="Arial"/>
          <w:color w:val="auto"/>
          <w:sz w:val="20"/>
          <w:szCs w:val="20"/>
        </w:rPr>
      </w:pPr>
    </w:p>
    <w:p w:rsidR="00E6371B" w:rsidRDefault="00E6371B" w:rsidP="0062699F">
      <w:pPr>
        <w:rPr>
          <w:rFonts w:cs="Arial"/>
          <w:color w:val="auto"/>
          <w:sz w:val="20"/>
          <w:szCs w:val="20"/>
        </w:rPr>
      </w:pPr>
      <w:r w:rsidRPr="00E6371B">
        <w:rPr>
          <w:rFonts w:cs="Arial"/>
          <w:color w:val="auto"/>
          <w:sz w:val="20"/>
          <w:szCs w:val="20"/>
        </w:rPr>
        <w:t>As a wholly owned subsidiary, HSBC Bank plc and its branches are subject to the remuneration policy established by the</w:t>
      </w:r>
      <w:r>
        <w:rPr>
          <w:rFonts w:cs="Arial"/>
          <w:color w:val="auto"/>
          <w:sz w:val="20"/>
          <w:szCs w:val="20"/>
        </w:rPr>
        <w:t xml:space="preserve"> </w:t>
      </w:r>
      <w:r w:rsidRPr="00E6371B">
        <w:rPr>
          <w:rFonts w:cs="Arial"/>
          <w:color w:val="auto"/>
          <w:sz w:val="20"/>
          <w:szCs w:val="20"/>
        </w:rPr>
        <w:t>Group. Details of the Group’s remuneration policy, including details on the remuneration committee membership and its</w:t>
      </w:r>
      <w:r>
        <w:rPr>
          <w:rFonts w:cs="Arial"/>
          <w:color w:val="auto"/>
          <w:sz w:val="20"/>
          <w:szCs w:val="20"/>
        </w:rPr>
        <w:t xml:space="preserve"> </w:t>
      </w:r>
      <w:r w:rsidRPr="00E6371B">
        <w:rPr>
          <w:rFonts w:cs="Arial"/>
          <w:color w:val="auto"/>
          <w:sz w:val="20"/>
          <w:szCs w:val="20"/>
        </w:rPr>
        <w:t>activities, the remuneration strategy and tables showing the remuneration details of HSBC’s identified staff and material risk</w:t>
      </w:r>
      <w:r>
        <w:rPr>
          <w:rFonts w:cs="Arial"/>
          <w:color w:val="auto"/>
          <w:sz w:val="20"/>
          <w:szCs w:val="20"/>
        </w:rPr>
        <w:t xml:space="preserve"> </w:t>
      </w:r>
      <w:r w:rsidRPr="00E6371B">
        <w:rPr>
          <w:rFonts w:cs="Arial"/>
          <w:color w:val="auto"/>
          <w:sz w:val="20"/>
          <w:szCs w:val="20"/>
        </w:rPr>
        <w:t>takers may be found in the remuneration policy on the website (http://www.hsbc.com/investor-relations/governance) and in</w:t>
      </w:r>
      <w:r>
        <w:rPr>
          <w:rFonts w:cs="Arial"/>
          <w:color w:val="auto"/>
          <w:sz w:val="20"/>
          <w:szCs w:val="20"/>
        </w:rPr>
        <w:t xml:space="preserve"> </w:t>
      </w:r>
      <w:r w:rsidRPr="00E6371B">
        <w:rPr>
          <w:rFonts w:cs="Arial"/>
          <w:color w:val="auto"/>
          <w:sz w:val="20"/>
          <w:szCs w:val="20"/>
        </w:rPr>
        <w:t>the directors’</w:t>
      </w:r>
      <w:r w:rsidR="00B45116">
        <w:rPr>
          <w:rFonts w:cs="Arial"/>
          <w:color w:val="auto"/>
          <w:sz w:val="20"/>
          <w:szCs w:val="20"/>
        </w:rPr>
        <w:t xml:space="preserve"> remuneration report on page 172</w:t>
      </w:r>
      <w:r w:rsidRPr="00E6371B">
        <w:rPr>
          <w:rFonts w:cs="Arial"/>
          <w:color w:val="auto"/>
          <w:sz w:val="20"/>
          <w:szCs w:val="20"/>
        </w:rPr>
        <w:t xml:space="preserve"> of the </w:t>
      </w:r>
      <w:r w:rsidRPr="00B529B3">
        <w:rPr>
          <w:rFonts w:cs="Arial"/>
          <w:i/>
          <w:color w:val="auto"/>
          <w:sz w:val="20"/>
          <w:szCs w:val="20"/>
        </w:rPr>
        <w:t xml:space="preserve">HSBC Holdings plc </w:t>
      </w:r>
      <w:r w:rsidR="00B529B3" w:rsidRPr="00B529B3">
        <w:rPr>
          <w:rFonts w:cs="Arial"/>
          <w:i/>
          <w:color w:val="auto"/>
          <w:sz w:val="20"/>
          <w:szCs w:val="20"/>
        </w:rPr>
        <w:t>A</w:t>
      </w:r>
      <w:r w:rsidRPr="00B529B3">
        <w:rPr>
          <w:rFonts w:cs="Arial"/>
          <w:i/>
          <w:color w:val="auto"/>
          <w:sz w:val="20"/>
          <w:szCs w:val="20"/>
        </w:rPr>
        <w:t xml:space="preserve">nnual </w:t>
      </w:r>
      <w:r w:rsidR="00B529B3" w:rsidRPr="00B529B3">
        <w:rPr>
          <w:rFonts w:cs="Arial"/>
          <w:i/>
          <w:color w:val="auto"/>
          <w:sz w:val="20"/>
          <w:szCs w:val="20"/>
        </w:rPr>
        <w:t>R</w:t>
      </w:r>
      <w:r w:rsidR="00B529B3">
        <w:rPr>
          <w:rFonts w:cs="Arial"/>
          <w:i/>
          <w:color w:val="auto"/>
          <w:sz w:val="20"/>
          <w:szCs w:val="20"/>
        </w:rPr>
        <w:t>eport and A</w:t>
      </w:r>
      <w:r w:rsidRPr="00B529B3">
        <w:rPr>
          <w:rFonts w:cs="Arial"/>
          <w:i/>
          <w:color w:val="auto"/>
          <w:sz w:val="20"/>
          <w:szCs w:val="20"/>
        </w:rPr>
        <w:t>ccounts 201</w:t>
      </w:r>
      <w:r w:rsidR="00B45116" w:rsidRPr="00B529B3">
        <w:rPr>
          <w:rFonts w:cs="Arial"/>
          <w:i/>
          <w:color w:val="auto"/>
          <w:sz w:val="20"/>
          <w:szCs w:val="20"/>
        </w:rPr>
        <w:t>8</w:t>
      </w:r>
      <w:r w:rsidRPr="00E6371B">
        <w:rPr>
          <w:rFonts w:cs="Arial"/>
          <w:color w:val="auto"/>
          <w:sz w:val="20"/>
          <w:szCs w:val="20"/>
        </w:rPr>
        <w:t>.</w:t>
      </w:r>
    </w:p>
    <w:p w:rsidR="00E6371B" w:rsidRPr="00E6371B" w:rsidRDefault="00E6371B" w:rsidP="0062699F">
      <w:pPr>
        <w:rPr>
          <w:rFonts w:cs="Arial"/>
          <w:color w:val="auto"/>
          <w:sz w:val="20"/>
          <w:szCs w:val="20"/>
        </w:rPr>
      </w:pPr>
    </w:p>
    <w:p w:rsidR="00E6371B" w:rsidRDefault="00E6371B" w:rsidP="0062699F">
      <w:pPr>
        <w:rPr>
          <w:rFonts w:cs="Arial"/>
          <w:color w:val="auto"/>
          <w:sz w:val="20"/>
          <w:szCs w:val="20"/>
        </w:rPr>
      </w:pPr>
      <w:r w:rsidRPr="00E6371B">
        <w:rPr>
          <w:rFonts w:cs="Arial"/>
          <w:color w:val="auto"/>
          <w:sz w:val="20"/>
          <w:szCs w:val="20"/>
        </w:rPr>
        <w:t>HSBC JOH does not have its own remuneration committee. The group considers South Africa in its deliberation via the</w:t>
      </w:r>
      <w:r>
        <w:rPr>
          <w:rFonts w:cs="Arial"/>
          <w:color w:val="auto"/>
          <w:sz w:val="20"/>
          <w:szCs w:val="20"/>
        </w:rPr>
        <w:t xml:space="preserve"> </w:t>
      </w:r>
      <w:r w:rsidRPr="00E6371B">
        <w:rPr>
          <w:rFonts w:cs="Arial"/>
          <w:color w:val="auto"/>
          <w:sz w:val="20"/>
          <w:szCs w:val="20"/>
        </w:rPr>
        <w:t>functions and lines of business. As a result</w:t>
      </w:r>
      <w:r w:rsidR="00D97DE4">
        <w:rPr>
          <w:rFonts w:cs="Arial"/>
          <w:color w:val="auto"/>
          <w:sz w:val="20"/>
          <w:szCs w:val="20"/>
        </w:rPr>
        <w:t>,</w:t>
      </w:r>
      <w:r w:rsidRPr="00E6371B">
        <w:rPr>
          <w:rFonts w:cs="Arial"/>
          <w:color w:val="auto"/>
          <w:sz w:val="20"/>
          <w:szCs w:val="20"/>
        </w:rPr>
        <w:t xml:space="preserve"> JOH does not have its own remuneration pool on an entity approved basis but</w:t>
      </w:r>
      <w:r>
        <w:rPr>
          <w:rFonts w:cs="Arial"/>
          <w:color w:val="auto"/>
          <w:sz w:val="20"/>
          <w:szCs w:val="20"/>
        </w:rPr>
        <w:t xml:space="preserve"> </w:t>
      </w:r>
      <w:r w:rsidRPr="00E6371B">
        <w:rPr>
          <w:rFonts w:cs="Arial"/>
          <w:color w:val="auto"/>
          <w:sz w:val="20"/>
          <w:szCs w:val="20"/>
        </w:rPr>
        <w:t>rather at a function and lines of business. Each function and line of business is separately assessed at the group level, this</w:t>
      </w:r>
      <w:r>
        <w:rPr>
          <w:rFonts w:cs="Arial"/>
          <w:color w:val="auto"/>
          <w:sz w:val="20"/>
          <w:szCs w:val="20"/>
        </w:rPr>
        <w:t xml:space="preserve"> </w:t>
      </w:r>
      <w:r w:rsidRPr="00E6371B">
        <w:rPr>
          <w:rFonts w:cs="Arial"/>
          <w:color w:val="auto"/>
          <w:sz w:val="20"/>
          <w:szCs w:val="20"/>
        </w:rPr>
        <w:t>includes the risk function.</w:t>
      </w:r>
    </w:p>
    <w:p w:rsidR="0079418F" w:rsidRDefault="0079418F" w:rsidP="0062699F">
      <w:pPr>
        <w:rPr>
          <w:rFonts w:cs="Arial"/>
          <w:color w:val="auto"/>
          <w:sz w:val="20"/>
          <w:szCs w:val="20"/>
        </w:rPr>
      </w:pPr>
    </w:p>
    <w:p w:rsidR="00771AD0" w:rsidRDefault="00771AD0">
      <w:pPr>
        <w:rPr>
          <w:rFonts w:cs="Arial"/>
          <w:noProof/>
          <w:color w:val="FF0000"/>
          <w:sz w:val="44"/>
          <w:szCs w:val="44"/>
          <w:lang w:val="en-ZA" w:eastAsia="en-ZA"/>
        </w:rPr>
      </w:pPr>
      <w:bookmarkStart w:id="47" w:name="_Toc524694472"/>
      <w:r>
        <w:rPr>
          <w:noProof/>
          <w:color w:val="FF0000"/>
          <w:sz w:val="44"/>
          <w:szCs w:val="44"/>
          <w:lang w:val="en-ZA" w:eastAsia="en-ZA"/>
        </w:rPr>
        <w:br w:type="page"/>
      </w:r>
    </w:p>
    <w:p w:rsidR="001D2719" w:rsidRPr="00C572DB" w:rsidRDefault="001D2719" w:rsidP="0062699F">
      <w:pPr>
        <w:pStyle w:val="BodyText1"/>
        <w:outlineLvl w:val="0"/>
        <w:rPr>
          <w:noProof/>
          <w:color w:val="FF0000"/>
          <w:sz w:val="44"/>
          <w:szCs w:val="44"/>
          <w:lang w:val="en-ZA" w:eastAsia="en-ZA"/>
        </w:rPr>
      </w:pPr>
      <w:bookmarkStart w:id="48" w:name="_Toc22895987"/>
      <w:r w:rsidRPr="00C572DB">
        <w:rPr>
          <w:noProof/>
          <w:color w:val="FF0000"/>
          <w:sz w:val="44"/>
          <w:szCs w:val="44"/>
          <w:lang w:val="en-ZA" w:eastAsia="en-ZA"/>
        </w:rPr>
        <w:lastRenderedPageBreak/>
        <w:t>Abbreviations</w:t>
      </w:r>
      <w:bookmarkEnd w:id="47"/>
      <w:bookmarkEnd w:id="48"/>
    </w:p>
    <w:p w:rsidR="001D2719" w:rsidRDefault="001D2719" w:rsidP="0062699F">
      <w:pPr>
        <w:rPr>
          <w:noProof/>
          <w:lang w:val="en-ZA" w:eastAsia="en-ZA"/>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1868"/>
        <w:gridCol w:w="7653"/>
      </w:tblGrid>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 xml:space="preserve">AFS </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 xml:space="preserve">Annual Financial Statements </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ALCO</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 xml:space="preserve">Asset and Liability Committee </w:t>
            </w:r>
          </w:p>
        </w:tc>
      </w:tr>
      <w:tr w:rsidR="000906B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b/>
                <w:bCs/>
                <w:szCs w:val="20"/>
                <w:lang w:val="en-GB"/>
              </w:rPr>
            </w:pPr>
            <w:r>
              <w:rPr>
                <w:rFonts w:cs="Arial"/>
                <w:b/>
                <w:bCs/>
                <w:szCs w:val="20"/>
                <w:lang w:val="en-GB"/>
              </w:rPr>
              <w:t>BCBS</w:t>
            </w:r>
          </w:p>
        </w:tc>
        <w:tc>
          <w:tcPr>
            <w:tcW w:w="7653"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szCs w:val="20"/>
                <w:lang w:val="en-GB"/>
              </w:rPr>
            </w:pPr>
            <w:r>
              <w:rPr>
                <w:rFonts w:cs="Arial"/>
                <w:szCs w:val="20"/>
                <w:lang w:val="en-GB"/>
              </w:rPr>
              <w:t>Basel Committee and Banking Supervision</w:t>
            </w:r>
          </w:p>
        </w:tc>
      </w:tr>
      <w:tr w:rsidR="000906B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b/>
                <w:bCs/>
                <w:szCs w:val="20"/>
                <w:lang w:val="en-GB"/>
              </w:rPr>
            </w:pPr>
            <w:r>
              <w:rPr>
                <w:rFonts w:cs="Arial"/>
                <w:b/>
                <w:bCs/>
                <w:szCs w:val="20"/>
                <w:lang w:val="en-GB"/>
              </w:rPr>
              <w:t>BSM</w:t>
            </w:r>
          </w:p>
        </w:tc>
        <w:tc>
          <w:tcPr>
            <w:tcW w:w="7653"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szCs w:val="20"/>
                <w:lang w:val="en-GB"/>
              </w:rPr>
            </w:pPr>
            <w:r>
              <w:rPr>
                <w:rFonts w:cs="Arial"/>
                <w:szCs w:val="20"/>
                <w:lang w:val="en-GB"/>
              </w:rPr>
              <w:t>Balance Sheet Management</w:t>
            </w:r>
          </w:p>
        </w:tc>
      </w:tr>
      <w:tr w:rsidR="000906B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b/>
                <w:bCs/>
                <w:szCs w:val="20"/>
                <w:lang w:val="en-GB"/>
              </w:rPr>
            </w:pPr>
            <w:r>
              <w:rPr>
                <w:rFonts w:cs="Arial"/>
                <w:b/>
                <w:bCs/>
                <w:szCs w:val="20"/>
                <w:lang w:val="en-GB"/>
              </w:rPr>
              <w:t>CEM</w:t>
            </w:r>
          </w:p>
        </w:tc>
        <w:tc>
          <w:tcPr>
            <w:tcW w:w="7653"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szCs w:val="20"/>
                <w:lang w:val="en-GB"/>
              </w:rPr>
            </w:pPr>
            <w:r>
              <w:rPr>
                <w:rFonts w:cs="Arial"/>
                <w:szCs w:val="20"/>
                <w:lang w:val="en-GB"/>
              </w:rPr>
              <w:t>Current Exposure Method</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CRA</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Credit Risk Adjustments</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CRM</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Credit Risk Mitigation</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B529B3" w:rsidP="0062699F">
            <w:pPr>
              <w:rPr>
                <w:rFonts w:cs="Arial"/>
                <w:b/>
                <w:bCs/>
                <w:szCs w:val="20"/>
                <w:lang w:val="en-GB"/>
              </w:rPr>
            </w:pPr>
            <w:r>
              <w:rPr>
                <w:rFonts w:cs="Arial"/>
                <w:b/>
                <w:bCs/>
                <w:szCs w:val="20"/>
                <w:lang w:val="en-GB"/>
              </w:rPr>
              <w:t>CC</w:t>
            </w:r>
            <w:r w:rsidR="001D2719">
              <w:rPr>
                <w:rFonts w:cs="Arial"/>
                <w:b/>
                <w:bCs/>
                <w:szCs w:val="20"/>
                <w:lang w:val="en-GB"/>
              </w:rPr>
              <w:t>R</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Counterparty Credit Risk</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CCF</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Credit Conversion Factor</w:t>
            </w:r>
          </w:p>
        </w:tc>
      </w:tr>
      <w:tr w:rsidR="000F5DA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F5DA4" w:rsidRDefault="000F5DA4" w:rsidP="0062699F">
            <w:pPr>
              <w:rPr>
                <w:rFonts w:cs="Arial"/>
                <w:b/>
                <w:bCs/>
                <w:szCs w:val="20"/>
                <w:lang w:val="en-GB"/>
              </w:rPr>
            </w:pPr>
            <w:r>
              <w:rPr>
                <w:rFonts w:cs="Arial"/>
                <w:b/>
                <w:bCs/>
                <w:szCs w:val="20"/>
                <w:lang w:val="en-GB"/>
              </w:rPr>
              <w:t>CRO</w:t>
            </w:r>
          </w:p>
        </w:tc>
        <w:tc>
          <w:tcPr>
            <w:tcW w:w="7653" w:type="dxa"/>
            <w:tcBorders>
              <w:top w:val="single" w:sz="4" w:space="0" w:color="808080"/>
              <w:left w:val="single" w:sz="4" w:space="0" w:color="808080"/>
              <w:bottom w:val="single" w:sz="4" w:space="0" w:color="808080"/>
              <w:right w:val="single" w:sz="4" w:space="0" w:color="808080"/>
            </w:tcBorders>
          </w:tcPr>
          <w:p w:rsidR="000F5DA4" w:rsidRDefault="00932187" w:rsidP="0062699F">
            <w:pPr>
              <w:rPr>
                <w:rFonts w:cs="Arial"/>
                <w:szCs w:val="20"/>
                <w:lang w:val="en-GB"/>
              </w:rPr>
            </w:pPr>
            <w:r>
              <w:rPr>
                <w:rFonts w:cs="Arial"/>
                <w:szCs w:val="20"/>
                <w:lang w:val="en-GB"/>
              </w:rPr>
              <w:t>Chief Ri</w:t>
            </w:r>
            <w:r w:rsidR="000F5DA4">
              <w:rPr>
                <w:rFonts w:cs="Arial"/>
                <w:szCs w:val="20"/>
                <w:lang w:val="en-GB"/>
              </w:rPr>
              <w:t>sk Officer</w:t>
            </w:r>
          </w:p>
        </w:tc>
      </w:tr>
      <w:tr w:rsidR="000906B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b/>
                <w:bCs/>
                <w:szCs w:val="20"/>
                <w:lang w:val="en-GB"/>
              </w:rPr>
            </w:pPr>
            <w:r>
              <w:rPr>
                <w:rFonts w:cs="Arial"/>
                <w:b/>
                <w:bCs/>
                <w:szCs w:val="20"/>
                <w:lang w:val="en-GB"/>
              </w:rPr>
              <w:t>CVA</w:t>
            </w:r>
          </w:p>
        </w:tc>
        <w:tc>
          <w:tcPr>
            <w:tcW w:w="7653"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szCs w:val="20"/>
                <w:lang w:val="en-GB"/>
              </w:rPr>
            </w:pPr>
            <w:r>
              <w:rPr>
                <w:rFonts w:cs="Arial"/>
                <w:szCs w:val="20"/>
                <w:lang w:val="en-GB"/>
              </w:rPr>
              <w:t>Credit Valuation Adjustment</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 xml:space="preserve">EAD </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 xml:space="preserve">Exposure at Default </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ECAs</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 xml:space="preserve">Export Credit Agency </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B529B3" w:rsidP="0062699F">
            <w:pPr>
              <w:rPr>
                <w:rFonts w:cs="Arial"/>
                <w:b/>
                <w:bCs/>
                <w:szCs w:val="20"/>
                <w:lang w:val="en-GB"/>
              </w:rPr>
            </w:pPr>
            <w:r>
              <w:rPr>
                <w:rFonts w:cs="Arial"/>
                <w:b/>
                <w:bCs/>
                <w:szCs w:val="20"/>
                <w:lang w:val="en-GB"/>
              </w:rPr>
              <w:t>Ex</w:t>
            </w:r>
            <w:r w:rsidR="001D2719">
              <w:rPr>
                <w:rFonts w:cs="Arial"/>
                <w:b/>
                <w:bCs/>
                <w:szCs w:val="20"/>
                <w:lang w:val="en-GB"/>
              </w:rPr>
              <w:t>C</w:t>
            </w:r>
            <w:r>
              <w:rPr>
                <w:rFonts w:cs="Arial"/>
                <w:b/>
                <w:bCs/>
                <w:szCs w:val="20"/>
                <w:lang w:val="en-GB"/>
              </w:rPr>
              <w:t>o</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Executive Committee</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 xml:space="preserve">FI </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 xml:space="preserve">Financial Institutions </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 xml:space="preserve">HBEU </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 xml:space="preserve">HSBC Bank plc </w:t>
            </w:r>
          </w:p>
        </w:tc>
      </w:tr>
      <w:tr w:rsidR="00443255" w:rsidRPr="004E3217" w:rsidTr="008629F5">
        <w:tc>
          <w:tcPr>
            <w:tcW w:w="1868" w:type="dxa"/>
            <w:tcBorders>
              <w:top w:val="single" w:sz="4" w:space="0" w:color="808080"/>
              <w:left w:val="single" w:sz="4" w:space="0" w:color="808080"/>
              <w:bottom w:val="single" w:sz="4" w:space="0" w:color="808080"/>
              <w:right w:val="single" w:sz="4" w:space="0" w:color="808080"/>
            </w:tcBorders>
          </w:tcPr>
          <w:p w:rsidR="00443255" w:rsidRDefault="00443255" w:rsidP="0062699F">
            <w:pPr>
              <w:rPr>
                <w:rFonts w:cs="Arial"/>
                <w:b/>
                <w:bCs/>
                <w:szCs w:val="20"/>
                <w:lang w:val="en-GB"/>
              </w:rPr>
            </w:pPr>
            <w:r>
              <w:rPr>
                <w:rFonts w:cs="Arial"/>
                <w:b/>
                <w:bCs/>
                <w:szCs w:val="20"/>
                <w:lang w:val="en-GB"/>
              </w:rPr>
              <w:t>HSBC JOH</w:t>
            </w:r>
          </w:p>
        </w:tc>
        <w:tc>
          <w:tcPr>
            <w:tcW w:w="7653" w:type="dxa"/>
            <w:tcBorders>
              <w:top w:val="single" w:sz="4" w:space="0" w:color="808080"/>
              <w:left w:val="single" w:sz="4" w:space="0" w:color="808080"/>
              <w:bottom w:val="single" w:sz="4" w:space="0" w:color="808080"/>
              <w:right w:val="single" w:sz="4" w:space="0" w:color="808080"/>
            </w:tcBorders>
          </w:tcPr>
          <w:p w:rsidR="00443255" w:rsidRDefault="00443255" w:rsidP="0062699F">
            <w:pPr>
              <w:rPr>
                <w:rFonts w:cs="Arial"/>
                <w:szCs w:val="20"/>
                <w:lang w:val="en-GB"/>
              </w:rPr>
            </w:pPr>
            <w:r>
              <w:rPr>
                <w:rFonts w:cs="Arial"/>
                <w:szCs w:val="20"/>
                <w:lang w:val="en-GB"/>
              </w:rPr>
              <w:t>HSBC</w:t>
            </w:r>
            <w:r w:rsidR="00734B1D">
              <w:rPr>
                <w:rFonts w:cs="Arial"/>
                <w:szCs w:val="20"/>
                <w:lang w:val="en-GB"/>
              </w:rPr>
              <w:t xml:space="preserve"> Bank plc</w:t>
            </w:r>
            <w:r>
              <w:rPr>
                <w:rFonts w:cs="Arial"/>
                <w:szCs w:val="20"/>
                <w:lang w:val="en-GB"/>
              </w:rPr>
              <w:t xml:space="preserve"> Johannesburg Branch</w:t>
            </w:r>
          </w:p>
        </w:tc>
      </w:tr>
      <w:tr w:rsidR="000906B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b/>
                <w:bCs/>
                <w:szCs w:val="20"/>
                <w:lang w:val="en-GB"/>
              </w:rPr>
            </w:pPr>
            <w:r>
              <w:rPr>
                <w:rFonts w:cs="Arial"/>
                <w:b/>
                <w:bCs/>
                <w:szCs w:val="20"/>
                <w:lang w:val="en-GB"/>
              </w:rPr>
              <w:t>HQLA</w:t>
            </w:r>
          </w:p>
        </w:tc>
        <w:tc>
          <w:tcPr>
            <w:tcW w:w="7653" w:type="dxa"/>
            <w:tcBorders>
              <w:top w:val="single" w:sz="4" w:space="0" w:color="808080"/>
              <w:left w:val="single" w:sz="4" w:space="0" w:color="808080"/>
              <w:bottom w:val="single" w:sz="4" w:space="0" w:color="808080"/>
              <w:right w:val="single" w:sz="4" w:space="0" w:color="808080"/>
            </w:tcBorders>
          </w:tcPr>
          <w:p w:rsidR="000906B4" w:rsidRDefault="000906B4" w:rsidP="0062699F">
            <w:pPr>
              <w:rPr>
                <w:rFonts w:cs="Arial"/>
                <w:szCs w:val="20"/>
                <w:lang w:val="en-GB"/>
              </w:rPr>
            </w:pPr>
            <w:r>
              <w:rPr>
                <w:rFonts w:cs="Arial"/>
                <w:szCs w:val="20"/>
                <w:lang w:val="en-GB"/>
              </w:rPr>
              <w:t>Highly Qualifying Liquid Assets</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b/>
                <w:bCs/>
                <w:szCs w:val="20"/>
                <w:lang w:val="en-GB"/>
              </w:rPr>
            </w:pPr>
            <w:r>
              <w:rPr>
                <w:rFonts w:cs="Arial"/>
                <w:b/>
                <w:bCs/>
                <w:szCs w:val="20"/>
                <w:lang w:val="en-GB"/>
              </w:rPr>
              <w:t>IRB</w:t>
            </w:r>
          </w:p>
        </w:tc>
        <w:tc>
          <w:tcPr>
            <w:tcW w:w="7653" w:type="dxa"/>
            <w:tcBorders>
              <w:top w:val="single" w:sz="4" w:space="0" w:color="808080"/>
              <w:left w:val="single" w:sz="4" w:space="0" w:color="808080"/>
              <w:bottom w:val="single" w:sz="4" w:space="0" w:color="808080"/>
              <w:right w:val="single" w:sz="4" w:space="0" w:color="808080"/>
            </w:tcBorders>
          </w:tcPr>
          <w:p w:rsidR="001D2719" w:rsidRDefault="001D2719" w:rsidP="0062699F">
            <w:pPr>
              <w:rPr>
                <w:rFonts w:cs="Arial"/>
                <w:szCs w:val="20"/>
                <w:lang w:val="en-GB"/>
              </w:rPr>
            </w:pPr>
            <w:r>
              <w:rPr>
                <w:rFonts w:cs="Arial"/>
                <w:szCs w:val="20"/>
                <w:lang w:val="en-GB"/>
              </w:rPr>
              <w:t>Internal Rating Based</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IMM</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Internal Model Method</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 xml:space="preserve">LCR </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B529B3" w:rsidP="0062699F">
            <w:pPr>
              <w:rPr>
                <w:rFonts w:cs="Arial"/>
                <w:szCs w:val="20"/>
                <w:lang w:val="en-GB"/>
              </w:rPr>
            </w:pPr>
            <w:r>
              <w:rPr>
                <w:rFonts w:cs="Arial"/>
                <w:szCs w:val="20"/>
                <w:lang w:val="en-GB"/>
              </w:rPr>
              <w:t>Liquidity</w:t>
            </w:r>
            <w:r w:rsidR="001D2719">
              <w:rPr>
                <w:rFonts w:cs="Arial"/>
                <w:szCs w:val="20"/>
                <w:lang w:val="en-GB"/>
              </w:rPr>
              <w:t xml:space="preserve"> Coverage Ratio</w:t>
            </w:r>
          </w:p>
        </w:tc>
      </w:tr>
      <w:tr w:rsidR="000F5DA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F5DA4" w:rsidRDefault="000F5DA4" w:rsidP="0062699F">
            <w:pPr>
              <w:rPr>
                <w:rFonts w:cs="Arial"/>
                <w:b/>
                <w:bCs/>
                <w:szCs w:val="20"/>
                <w:lang w:val="en-GB"/>
              </w:rPr>
            </w:pPr>
            <w:r>
              <w:rPr>
                <w:rFonts w:cs="Arial"/>
                <w:b/>
                <w:bCs/>
                <w:szCs w:val="20"/>
                <w:lang w:val="en-GB"/>
              </w:rPr>
              <w:t>NSFR</w:t>
            </w:r>
          </w:p>
        </w:tc>
        <w:tc>
          <w:tcPr>
            <w:tcW w:w="7653" w:type="dxa"/>
            <w:tcBorders>
              <w:top w:val="single" w:sz="4" w:space="0" w:color="808080"/>
              <w:left w:val="single" w:sz="4" w:space="0" w:color="808080"/>
              <w:bottom w:val="single" w:sz="4" w:space="0" w:color="808080"/>
              <w:right w:val="single" w:sz="4" w:space="0" w:color="808080"/>
            </w:tcBorders>
          </w:tcPr>
          <w:p w:rsidR="000F5DA4" w:rsidRDefault="000F5DA4" w:rsidP="0062699F">
            <w:pPr>
              <w:rPr>
                <w:rFonts w:cs="Arial"/>
                <w:szCs w:val="20"/>
                <w:lang w:val="en-GB"/>
              </w:rPr>
            </w:pPr>
            <w:r>
              <w:rPr>
                <w:rFonts w:cs="Arial"/>
                <w:szCs w:val="20"/>
                <w:lang w:val="en-GB"/>
              </w:rPr>
              <w:t>Net Stable Ratio Funding</w:t>
            </w:r>
          </w:p>
        </w:tc>
      </w:tr>
      <w:tr w:rsidR="00443255" w:rsidRPr="004E3217" w:rsidTr="008629F5">
        <w:tc>
          <w:tcPr>
            <w:tcW w:w="1868" w:type="dxa"/>
            <w:tcBorders>
              <w:top w:val="single" w:sz="4" w:space="0" w:color="808080"/>
              <w:left w:val="single" w:sz="4" w:space="0" w:color="808080"/>
              <w:bottom w:val="single" w:sz="4" w:space="0" w:color="808080"/>
              <w:right w:val="single" w:sz="4" w:space="0" w:color="808080"/>
            </w:tcBorders>
          </w:tcPr>
          <w:p w:rsidR="00443255" w:rsidRDefault="00443255" w:rsidP="0062699F">
            <w:pPr>
              <w:rPr>
                <w:rFonts w:cs="Arial"/>
                <w:b/>
                <w:bCs/>
                <w:szCs w:val="20"/>
                <w:lang w:val="en-GB"/>
              </w:rPr>
            </w:pPr>
            <w:r>
              <w:rPr>
                <w:rFonts w:cs="Arial"/>
                <w:b/>
                <w:bCs/>
                <w:szCs w:val="20"/>
                <w:lang w:val="en-GB"/>
              </w:rPr>
              <w:t>ORMF</w:t>
            </w:r>
          </w:p>
        </w:tc>
        <w:tc>
          <w:tcPr>
            <w:tcW w:w="7653" w:type="dxa"/>
            <w:tcBorders>
              <w:top w:val="single" w:sz="4" w:space="0" w:color="808080"/>
              <w:left w:val="single" w:sz="4" w:space="0" w:color="808080"/>
              <w:bottom w:val="single" w:sz="4" w:space="0" w:color="808080"/>
              <w:right w:val="single" w:sz="4" w:space="0" w:color="808080"/>
            </w:tcBorders>
          </w:tcPr>
          <w:p w:rsidR="00443255" w:rsidRDefault="00443255" w:rsidP="0062699F">
            <w:pPr>
              <w:rPr>
                <w:rFonts w:cs="Arial"/>
                <w:szCs w:val="20"/>
                <w:lang w:val="en-GB"/>
              </w:rPr>
            </w:pPr>
            <w:r>
              <w:rPr>
                <w:rFonts w:cs="Arial"/>
                <w:szCs w:val="20"/>
                <w:lang w:val="en-GB"/>
              </w:rPr>
              <w:t>Operational Risk Management Framework</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 xml:space="preserve">RAS </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Risk Appetite Statement</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RMM</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Risk Management Meeting</w:t>
            </w:r>
          </w:p>
        </w:tc>
      </w:tr>
      <w:tr w:rsidR="001D2719" w:rsidRPr="004E3217" w:rsidTr="008629F5">
        <w:tc>
          <w:tcPr>
            <w:tcW w:w="1868"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b/>
                <w:bCs/>
                <w:szCs w:val="20"/>
                <w:lang w:val="en-GB"/>
              </w:rPr>
            </w:pPr>
            <w:r>
              <w:rPr>
                <w:rFonts w:cs="Arial"/>
                <w:b/>
                <w:bCs/>
                <w:szCs w:val="20"/>
                <w:lang w:val="en-GB"/>
              </w:rPr>
              <w:t>RWA</w:t>
            </w:r>
          </w:p>
        </w:tc>
        <w:tc>
          <w:tcPr>
            <w:tcW w:w="7653" w:type="dxa"/>
            <w:tcBorders>
              <w:top w:val="single" w:sz="4" w:space="0" w:color="808080"/>
              <w:left w:val="single" w:sz="4" w:space="0" w:color="808080"/>
              <w:bottom w:val="single" w:sz="4" w:space="0" w:color="808080"/>
              <w:right w:val="single" w:sz="4" w:space="0" w:color="808080"/>
            </w:tcBorders>
          </w:tcPr>
          <w:p w:rsidR="001D2719" w:rsidRPr="004E3217" w:rsidRDefault="001D2719" w:rsidP="0062699F">
            <w:pPr>
              <w:rPr>
                <w:rFonts w:cs="Arial"/>
                <w:szCs w:val="20"/>
                <w:lang w:val="en-GB"/>
              </w:rPr>
            </w:pPr>
            <w:r>
              <w:rPr>
                <w:rFonts w:cs="Arial"/>
                <w:szCs w:val="20"/>
                <w:lang w:val="en-GB"/>
              </w:rPr>
              <w:t xml:space="preserve">Risk Weighted Assets </w:t>
            </w:r>
          </w:p>
        </w:tc>
      </w:tr>
      <w:tr w:rsidR="000F5DA4" w:rsidRPr="004E3217" w:rsidTr="008629F5">
        <w:tc>
          <w:tcPr>
            <w:tcW w:w="1868" w:type="dxa"/>
            <w:tcBorders>
              <w:top w:val="single" w:sz="4" w:space="0" w:color="808080"/>
              <w:left w:val="single" w:sz="4" w:space="0" w:color="808080"/>
              <w:bottom w:val="single" w:sz="4" w:space="0" w:color="808080"/>
              <w:right w:val="single" w:sz="4" w:space="0" w:color="808080"/>
            </w:tcBorders>
          </w:tcPr>
          <w:p w:rsidR="000F5DA4" w:rsidRDefault="000F5DA4" w:rsidP="0062699F">
            <w:pPr>
              <w:rPr>
                <w:rFonts w:cs="Arial"/>
                <w:b/>
                <w:bCs/>
                <w:szCs w:val="20"/>
                <w:lang w:val="en-GB"/>
              </w:rPr>
            </w:pPr>
            <w:r>
              <w:rPr>
                <w:rFonts w:cs="Arial"/>
                <w:b/>
                <w:bCs/>
                <w:szCs w:val="20"/>
                <w:lang w:val="en-GB"/>
              </w:rPr>
              <w:t>SFT</w:t>
            </w:r>
          </w:p>
        </w:tc>
        <w:tc>
          <w:tcPr>
            <w:tcW w:w="7653" w:type="dxa"/>
            <w:tcBorders>
              <w:top w:val="single" w:sz="4" w:space="0" w:color="808080"/>
              <w:left w:val="single" w:sz="4" w:space="0" w:color="808080"/>
              <w:bottom w:val="single" w:sz="4" w:space="0" w:color="808080"/>
              <w:right w:val="single" w:sz="4" w:space="0" w:color="808080"/>
            </w:tcBorders>
          </w:tcPr>
          <w:p w:rsidR="000F5DA4" w:rsidRDefault="009D12CA" w:rsidP="0062699F">
            <w:pPr>
              <w:rPr>
                <w:rFonts w:cs="Arial"/>
                <w:szCs w:val="20"/>
                <w:lang w:val="en-GB"/>
              </w:rPr>
            </w:pPr>
            <w:r>
              <w:rPr>
                <w:rFonts w:cs="Arial"/>
                <w:szCs w:val="20"/>
                <w:lang w:val="en-GB"/>
              </w:rPr>
              <w:t>Securities Funding Transactions</w:t>
            </w:r>
          </w:p>
        </w:tc>
      </w:tr>
      <w:tr w:rsidR="00794613" w:rsidRPr="004E3217" w:rsidTr="008629F5">
        <w:tc>
          <w:tcPr>
            <w:tcW w:w="1868" w:type="dxa"/>
            <w:tcBorders>
              <w:top w:val="single" w:sz="4" w:space="0" w:color="808080"/>
              <w:left w:val="single" w:sz="4" w:space="0" w:color="808080"/>
              <w:bottom w:val="single" w:sz="4" w:space="0" w:color="808080"/>
              <w:right w:val="single" w:sz="4" w:space="0" w:color="808080"/>
            </w:tcBorders>
          </w:tcPr>
          <w:p w:rsidR="00794613" w:rsidRDefault="00794613" w:rsidP="0062699F">
            <w:pPr>
              <w:rPr>
                <w:rFonts w:cs="Arial"/>
                <w:b/>
                <w:bCs/>
                <w:szCs w:val="20"/>
                <w:lang w:val="en-GB"/>
              </w:rPr>
            </w:pPr>
            <w:r>
              <w:rPr>
                <w:rFonts w:cs="Arial"/>
                <w:b/>
                <w:bCs/>
                <w:szCs w:val="20"/>
                <w:lang w:val="en-GB"/>
              </w:rPr>
              <w:t>WMR</w:t>
            </w:r>
          </w:p>
        </w:tc>
        <w:tc>
          <w:tcPr>
            <w:tcW w:w="7653" w:type="dxa"/>
            <w:tcBorders>
              <w:top w:val="single" w:sz="4" w:space="0" w:color="808080"/>
              <w:left w:val="single" w:sz="4" w:space="0" w:color="808080"/>
              <w:bottom w:val="single" w:sz="4" w:space="0" w:color="808080"/>
              <w:right w:val="single" w:sz="4" w:space="0" w:color="808080"/>
            </w:tcBorders>
          </w:tcPr>
          <w:p w:rsidR="00794613" w:rsidRDefault="00794613" w:rsidP="0062699F">
            <w:pPr>
              <w:rPr>
                <w:rFonts w:cs="Arial"/>
                <w:szCs w:val="20"/>
                <w:lang w:val="en-GB"/>
              </w:rPr>
            </w:pPr>
            <w:r>
              <w:rPr>
                <w:rFonts w:cs="Arial"/>
                <w:szCs w:val="20"/>
                <w:lang w:val="en-GB"/>
              </w:rPr>
              <w:t>Wholesale Market Risk</w:t>
            </w:r>
          </w:p>
        </w:tc>
      </w:tr>
    </w:tbl>
    <w:p w:rsidR="001D2719" w:rsidRDefault="001D2719" w:rsidP="0062699F">
      <w:pPr>
        <w:rPr>
          <w:rFonts w:cs="Arial"/>
          <w:color w:val="auto"/>
          <w:sz w:val="20"/>
          <w:szCs w:val="20"/>
        </w:rPr>
      </w:pPr>
    </w:p>
    <w:p w:rsidR="001D2719" w:rsidRDefault="001D2719" w:rsidP="0062699F">
      <w:pPr>
        <w:rPr>
          <w:rFonts w:cs="Arial"/>
          <w:color w:val="auto"/>
          <w:sz w:val="20"/>
          <w:szCs w:val="20"/>
        </w:rPr>
      </w:pPr>
    </w:p>
    <w:sectPr w:rsidR="001D2719" w:rsidSect="004D78A2">
      <w:headerReference w:type="default" r:id="rId38"/>
      <w:footerReference w:type="default" r:id="rId39"/>
      <w:type w:val="continuous"/>
      <w:pgSz w:w="11909" w:h="16834" w:code="9"/>
      <w:pgMar w:top="1296" w:right="965" w:bottom="1613" w:left="965" w:header="720" w:footer="720" w:gutter="0"/>
      <w:pgBorders w:offsetFrom="page">
        <w:top w:val="none" w:sz="10" w:space="12" w:color="1200DD" w:shadow="1"/>
        <w:left w:val="none" w:sz="0" w:space="12" w:color="0000DC" w:shadow="1"/>
        <w:bottom w:val="none" w:sz="255" w:space="13" w:color="FFFFFF" w:themeColor="dark2" w:themeTint="00" w:themeShade="39" w:shadow="1"/>
        <w:right w:val="none" w:sz="18" w:space="27" w:color="120084" w:shadow="1"/>
      </w:pgBorders>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263" w:rsidRDefault="00C93263">
      <w:r>
        <w:separator/>
      </w:r>
    </w:p>
  </w:endnote>
  <w:endnote w:type="continuationSeparator" w:id="0">
    <w:p w:rsidR="00C93263" w:rsidRDefault="00C9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for HSBC Lt">
    <w:panose1 w:val="00000000000000000000"/>
    <w:charset w:val="00"/>
    <w:family w:val="swiss"/>
    <w:notTrueType/>
    <w:pitch w:val="variable"/>
    <w:sig w:usb0="80000427" w:usb1="40000001"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EYInterstate">
    <w:altName w:val="Corbel"/>
    <w:charset w:val="00"/>
    <w:family w:val="auto"/>
    <w:pitch w:val="variable"/>
    <w:sig w:usb0="00000001" w:usb1="5000206A"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Light-Normal">
    <w:panose1 w:val="00000000000000000000"/>
    <w:charset w:val="00"/>
    <w:family w:val="auto"/>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116AB" w:rsidRDefault="00C93263" w:rsidP="007048AE">
    <w:pPr>
      <w:tabs>
        <w:tab w:val="center" w:pos="5040"/>
        <w:tab w:val="right" w:pos="10530"/>
        <w:tab w:val="right" w:pos="14400"/>
      </w:tabs>
      <w:spacing w:after="80"/>
      <w:ind w:right="29"/>
      <w:rPr>
        <w:color w:val="D7D8D6" w:themeColor="accent4"/>
        <w:sz w:val="20"/>
        <w:szCs w:val="20"/>
      </w:rPr>
    </w:pPr>
    <w:r>
      <w:rPr>
        <w:noProof/>
        <w:color w:val="FFFFFF" w:themeColor="background1"/>
        <w:sz w:val="20"/>
        <w:szCs w:val="20"/>
        <w:lang w:val="en-ZA" w:eastAsia="en-ZA"/>
      </w:rPr>
      <mc:AlternateContent>
        <mc:Choice Requires="wpg">
          <w:drawing>
            <wp:anchor distT="0" distB="0" distL="114300" distR="114300" simplePos="0" relativeHeight="251740672" behindDoc="0" locked="0" layoutInCell="1" allowOverlap="1" wp14:anchorId="0558EAFB" wp14:editId="3F3B488B">
              <wp:simplePos x="0" y="0"/>
              <wp:positionH relativeFrom="column">
                <wp:posOffset>-556895</wp:posOffset>
              </wp:positionH>
              <wp:positionV relativeFrom="paragraph">
                <wp:posOffset>1141604</wp:posOffset>
              </wp:positionV>
              <wp:extent cx="603504" cy="836295"/>
              <wp:effectExtent l="0" t="0" r="6350" b="1905"/>
              <wp:wrapNone/>
              <wp:docPr id="64" name="Group 64"/>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65" name="Picture 65"/>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62F1150" id="Group 64" o:spid="_x0000_s1026" style="position:absolute;margin-left:-43.85pt;margin-top:89.9pt;width:47.5pt;height:65.85pt;rotation:180;z-index:251740672;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BFzCAAAA2wAAAA8AAABkcnMvZG93bnJldi54bWxEj0GLwjAUhO/C/ofwFrxpqqJo1yiLWNCD&#10;iO4ePD6at223zUtpYq3/3giCx2FmvmGW685UoqXGFZYVjIYRCOLU6oIzBb8/yWAOwnlkjZVlUnAn&#10;B+vVR2+JsbY3PlF79pkIEHYxKsi9r2MpXZqTQTe0NXHw/mxj0AfZZFI3eAtwU8lxFM2kwYLDQo41&#10;bXJKy/PVKCjtf7JfHLamlpPkossRtkePSvU/u+8vEJ46/w6/2jutYDaF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yQRcwgAAANsAAAAPAAAAAAAAAAAAAAAAAJ8C&#10;AABkcnMvZG93bnJldi54bWxQSwUGAAAAAAQABAD3AAAAjgMAAAAA&#10;">
                <v:imagedata r:id="rId2" o:title="" croptop="21721f" cropbottom="22071f" cropleft="11176f" cropright="30660f" gain="39322f" blacklevel="13107f" recolortarget="#5f625d [1447]"/>
                <v:path arrowok="t"/>
              </v:shape>
              <v:shape id="Picture 66"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MynDAAAA2wAAAA8AAABkcnMvZG93bnJldi54bWxEj0FrwkAUhO+F/oflFbzVl/YQ2+gqUiiI&#10;UKix9PyafWaD2bchu5rYX98VhB6HmfmGWaxG16oz96HxouFpmoFiqbxppNbwtX9/fAEVIomh1gtr&#10;uHCA1fL+bkGF8YPs+FzGWiWIhII02Bi7AjFUlh2Fqe9YknfwvaOYZF+j6WlIcNfic5bl6KiRtGCp&#10;4zfL1bE8OQ3btf35HAjHE3KJv+33Bx9nr1pPHsb1HFTkMf6Hb+2N0ZDncP2Sfg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wzKc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39648" behindDoc="0" locked="0" layoutInCell="1" allowOverlap="1" wp14:anchorId="605AE086" wp14:editId="19646154">
              <wp:simplePos x="0" y="0"/>
              <wp:positionH relativeFrom="column">
                <wp:posOffset>-556895</wp:posOffset>
              </wp:positionH>
              <wp:positionV relativeFrom="paragraph">
                <wp:posOffset>2679203</wp:posOffset>
              </wp:positionV>
              <wp:extent cx="603504" cy="836295"/>
              <wp:effectExtent l="0" t="0" r="6350" b="1905"/>
              <wp:wrapNone/>
              <wp:docPr id="67" name="Group 67"/>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68" name="Picture 68"/>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4AC5452" id="Group 67" o:spid="_x0000_s1026" style="position:absolute;margin-left:-43.85pt;margin-top:210.95pt;width:47.5pt;height:65.85pt;rotation:180;z-index:251739648;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">
              <v:shape id="Picture 68"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q8LAAAAA2wAAAA8AAABkcnMvZG93bnJldi54bWxET02LwjAQvQv+hzCCN02rILtdY1nEgh5E&#10;1vXgcWhm226bSWlirf/eHASPj/e9TgfTiJ46V1lWEM8jEMS51RUXCi6/2ewDhPPIGhvLpOBBDtLN&#10;eLTGRNs7/1B/9oUIIewSVFB63yZSurwkg25uW+LA/dnOoA+wK6Tu8B7CTSMXUbSSBisODSW2tC0p&#10;r883o6C2/9nh87gzrVxmV13H2J88KjWdDN9fIDwN/i1+ufdawSqMDV/C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sirwsAAAADbAAAADwAAAAAAAAAAAAAAAACfAgAA&#10;ZHJzL2Rvd25yZXYueG1sUEsFBgAAAAAEAAQA9wAAAIwDAAAAAA==&#10;">
                <v:imagedata r:id="rId2" o:title="" croptop="21721f" cropbottom="22071f" cropleft="11176f" cropright="30660f" gain="39322f" blacklevel="13107f" recolortarget="#5f625d [1447]"/>
                <v:path arrowok="t"/>
              </v:shape>
              <v:shape id="Picture 69"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p1vDAAAA2wAAAA8AAABkcnMvZG93bnJldi54bWxEj0FrwkAUhO+F/oflCd7qiz3YGl1FCoVS&#10;EDQtPb9mn9lg9m3Irib6692C0OMwM98wy/XgGnXmLtReNEwnGSiW0ptaKg3fX+9Pr6BCJDHUeGEN&#10;Fw6wXj0+LCk3vpc9n4tYqQSRkJMGG2ObI4bSsqMw8S1L8g6+cxST7Co0HfUJ7hp8zrIZOqolLVhq&#10;+c1yeSxOTsPnxv7uesLhhFzgtfnZ8vFlrvV4NGwWoCIP8T98b38YDbM5/H1JPw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OnW8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38624" behindDoc="0" locked="0" layoutInCell="1" allowOverlap="1" wp14:anchorId="3AF69587" wp14:editId="20D336DC">
              <wp:simplePos x="0" y="0"/>
              <wp:positionH relativeFrom="column">
                <wp:posOffset>-556895</wp:posOffset>
              </wp:positionH>
              <wp:positionV relativeFrom="paragraph">
                <wp:posOffset>4003015</wp:posOffset>
              </wp:positionV>
              <wp:extent cx="603504" cy="836295"/>
              <wp:effectExtent l="0" t="0" r="6350" b="1905"/>
              <wp:wrapNone/>
              <wp:docPr id="70" name="Group 70"/>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71" name="Picture 71"/>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 name="Picture 72"/>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4A9A586" id="Group 70" o:spid="_x0000_s1026" style="position:absolute;margin-left:-43.85pt;margin-top:315.2pt;width:47.5pt;height:65.85pt;rotation:180;z-index:251738624;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">
              <v:shape id="Picture 71"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lILDAAAA2wAAAA8AAABkcnMvZG93bnJldi54bWxEj09rwkAUxO8Fv8PyBG91EwWrqauIGNCD&#10;FP8cenxkX5M02bchu8b47V2h0OMwM79hluve1KKj1pWWFcTjCARxZnXJuYLrJX2fg3AeWWNtmRQ8&#10;yMF6NXhbYqLtnU/UnX0uAoRdggoK75tESpcVZNCNbUMcvB/bGvRBtrnULd4D3NRyEkUzabDksFBg&#10;Q9uCsup8Mwoq+5seFsedaeQ0/dZVjN2XR6VGw37zCcJT7//Df+29VvARw+t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uUgsMAAADbAAAADwAAAAAAAAAAAAAAAACf&#10;AgAAZHJzL2Rvd25yZXYueG1sUEsFBgAAAAAEAAQA9wAAAI8DAAAAAA==&#10;">
                <v:imagedata r:id="rId2" o:title="" croptop="21721f" cropbottom="22071f" cropleft="11176f" cropright="30660f" gain="39322f" blacklevel="13107f" recolortarget="#5f625d [1447]"/>
                <v:path arrowok="t"/>
              </v:shape>
              <v:shape id="Picture 72"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o/fDAAAA2wAAAA8AAABkcnMvZG93bnJldi54bWxEj0FrwkAUhO8F/8PyhN7qSz3UNnUVEYRS&#10;KGiUnl+zr9lg9m3Irib117uC0OMwM98w8+XgGnXmLtReNDxPMlAspTe1VBoO+83TK6gQSQw1XljD&#10;HwdYLkYPc8qN72XH5yJWKkEk5KTBxtjmiKG07ChMfMuSvF/fOYpJdhWajvoEdw1Os+wFHdWSFiy1&#10;vLZcHouT0/C5sj/bnnA4IRd4ab6/+Dh70/pxPKzeQUUe4n/43v4wGmZTuH1JPw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6j98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sz w:val="20"/>
        <w:szCs w:val="20"/>
      </w:rPr>
      <w:tab/>
    </w:r>
    <w:r w:rsidRPr="00234383">
      <w:rPr>
        <w:sz w:val="20"/>
        <w:szCs w:val="20"/>
      </w:rPr>
      <w:fldChar w:fldCharType="begin"/>
    </w:r>
    <w:r w:rsidRPr="00234383">
      <w:rPr>
        <w:sz w:val="20"/>
        <w:szCs w:val="20"/>
      </w:rPr>
      <w:instrText xml:space="preserve"> PAGE  \* MERGEFORMAT </w:instrText>
    </w:r>
    <w:r w:rsidRPr="00234383">
      <w:rPr>
        <w:sz w:val="20"/>
        <w:szCs w:val="20"/>
      </w:rPr>
      <w:fldChar w:fldCharType="separate"/>
    </w:r>
    <w:r>
      <w:rPr>
        <w:noProof/>
        <w:sz w:val="20"/>
        <w:szCs w:val="20"/>
      </w:rPr>
      <w:t>6</w:t>
    </w:r>
    <w:r w:rsidRPr="00234383">
      <w:rPr>
        <w:sz w:val="20"/>
        <w:szCs w:val="20"/>
      </w:rPr>
      <w:fldChar w:fldCharType="end"/>
    </w:r>
    <w:r>
      <w:rPr>
        <w:sz w:val="20"/>
        <w:szCs w:val="20"/>
      </w:rPr>
      <w:tab/>
    </w:r>
    <w:r w:rsidRPr="005E3736">
      <w:rPr>
        <w:color w:val="D7D8D6" w:themeColor="accent4"/>
        <w:sz w:val="20"/>
        <w:szCs w:val="20"/>
      </w:rPr>
      <w:t xml:space="preserve"> </w:t>
    </w:r>
    <w:r>
      <w:rPr>
        <w:color w:val="D7D8D6" w:themeColor="accent4"/>
        <w:sz w:val="20"/>
        <w:szCs w:val="20"/>
      </w:rPr>
      <w:t>PUBLIC</w:t>
    </w:r>
    <w:r w:rsidRPr="005E3736">
      <w:rPr>
        <w:color w:val="D7D8D6" w:themeColor="accent4"/>
      </w:rPr>
      <w:fldChar w:fldCharType="begin"/>
    </w:r>
    <w:r w:rsidRPr="005E3736">
      <w:rPr>
        <w:color w:val="D7D8D6" w:themeColor="accent4"/>
      </w:rPr>
      <w:instrText xml:space="preserve">  \* MERGEFORMAT </w:instrText>
    </w:r>
    <w:r w:rsidRPr="005E3736">
      <w:rPr>
        <w:color w:val="D7D8D6" w:themeColor="accent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116AB" w:rsidRDefault="00C93263" w:rsidP="007048AE">
    <w:pPr>
      <w:tabs>
        <w:tab w:val="center" w:pos="5040"/>
        <w:tab w:val="right" w:pos="10530"/>
        <w:tab w:val="right" w:pos="14400"/>
      </w:tabs>
      <w:spacing w:after="80"/>
      <w:ind w:right="29"/>
      <w:rPr>
        <w:color w:val="D7D8D6" w:themeColor="accent4"/>
        <w:sz w:val="20"/>
        <w:szCs w:val="20"/>
      </w:rPr>
    </w:pPr>
    <w:r>
      <w:rPr>
        <w:noProof/>
        <w:color w:val="FFFFFF" w:themeColor="background1"/>
        <w:sz w:val="20"/>
        <w:szCs w:val="20"/>
        <w:lang w:val="en-ZA" w:eastAsia="en-ZA"/>
      </w:rPr>
      <mc:AlternateContent>
        <mc:Choice Requires="wpg">
          <w:drawing>
            <wp:anchor distT="0" distB="0" distL="114300" distR="114300" simplePos="0" relativeHeight="251743744" behindDoc="0" locked="0" layoutInCell="1" allowOverlap="1" wp14:anchorId="61EC4F17" wp14:editId="41A315E6">
              <wp:simplePos x="0" y="0"/>
              <wp:positionH relativeFrom="column">
                <wp:posOffset>-556895</wp:posOffset>
              </wp:positionH>
              <wp:positionV relativeFrom="paragraph">
                <wp:posOffset>1141604</wp:posOffset>
              </wp:positionV>
              <wp:extent cx="603504" cy="836295"/>
              <wp:effectExtent l="0" t="0" r="6350" b="1905"/>
              <wp:wrapNone/>
              <wp:docPr id="73" name="Group 73"/>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74" name="Picture 74"/>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Picture 84"/>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3D587AA" id="Group 73" o:spid="_x0000_s1026" style="position:absolute;margin-left:-43.85pt;margin-top:89.9pt;width:47.5pt;height:65.85pt;rotation:180;z-index:251743744;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NxrDAAAA2wAAAA8AAABkcnMvZG93bnJldi54bWxEj09rwkAUxO8Fv8PyhN50Yy1Vo6tIMVAP&#10;Rfxz8PjIPpOY7NuQ3cb47V1B6HGYmd8wi1VnKtFS4wrLCkbDCARxanXBmYLTMRlMQTiPrLGyTAru&#10;5GC17L0tMNb2xntqDz4TAcIuRgW593UspUtzMuiGtiYO3sU2Bn2QTSZ1g7cAN5X8iKIvabDgsJBj&#10;Td85peXhzygo7TXZzn43ppbj5KzLEbY7j0q997v1HISnzv+HX+0frWDyCc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w3GsMAAADbAAAADwAAAAAAAAAAAAAAAACf&#10;AgAAZHJzL2Rvd25yZXYueG1sUEsFBgAAAAAEAAQA9wAAAI8DAAAAAA==&#10;">
                <v:imagedata r:id="rId2" o:title="" croptop="21721f" cropbottom="22071f" cropleft="11176f" cropright="30660f" gain="39322f" blacklevel="13107f" recolortarget="#5f625d [1447]"/>
                <v:path arrowok="t"/>
              </v:shape>
              <v:shape id="Picture 84"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7j/DAAAA2wAAAA8AAABkcnMvZG93bnJldi54bWxEj1FrwkAQhN8L/odjC77VTaVYm3qKCEIR&#10;BJuWPm9z21wwtxdyp4n+eq9Q6OMwM98wi9XgGnXmLtReNDxOMlAspTe1VBo+P7YPc1AhkhhqvLCG&#10;CwdYLUd3C8qN7+Wdz0WsVIJIyEmDjbHNEUNp2VGY+JYleT++cxST7Co0HfUJ7hqcZtkMHdWSFiy1&#10;vLFcHouT07Bb2+9DTzickAu8Nl97Pj6/aD2+H9avoCIP8T/8134zGuZP8Psl/Q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7uP8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42720" behindDoc="0" locked="0" layoutInCell="1" allowOverlap="1" wp14:anchorId="288BEBA7" wp14:editId="1ADC2A01">
              <wp:simplePos x="0" y="0"/>
              <wp:positionH relativeFrom="column">
                <wp:posOffset>-556895</wp:posOffset>
              </wp:positionH>
              <wp:positionV relativeFrom="paragraph">
                <wp:posOffset>2679203</wp:posOffset>
              </wp:positionV>
              <wp:extent cx="603504" cy="836295"/>
              <wp:effectExtent l="0" t="0" r="6350" b="1905"/>
              <wp:wrapNone/>
              <wp:docPr id="85" name="Group 85"/>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86" name="Picture 86"/>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Picture 87"/>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A2A0CEC" id="Group 85" o:spid="_x0000_s1026" style="position:absolute;margin-left:-43.85pt;margin-top:210.95pt;width:47.5pt;height:65.85pt;rotation:180;z-index:251742720;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">
              <v:shape id="Picture 86"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fNHCAAAA2wAAAA8AAABkcnMvZG93bnJldi54bWxEj0GLwjAUhO8L/ofwBG9rqoJoNYqIBT3I&#10;surB46N5trXNS2lirf/eCAt7HGbmG2a57kwlWmpcYVnBaBiBIE6tLjhTcDkn3zMQziNrrCyTghc5&#10;WK96X0uMtX3yL7Unn4kAYRejgtz7OpbSpTkZdENbEwfvZhuDPsgmk7rBZ4CbSo6jaCoNFhwWcqxp&#10;m1Nanh5GQWnvyWF+3JlaTpKrLkfY/nhUatDvNgsQnjr/H/5r77WC2RQ+X8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3zRwgAAANsAAAAPAAAAAAAAAAAAAAAAAJ8C&#10;AABkcnMvZG93bnJldi54bWxQSwUGAAAAAAQABAD3AAAAjgMAAAAA&#10;">
                <v:imagedata r:id="rId2" o:title="" croptop="21721f" cropbottom="22071f" cropleft="11176f" cropright="30660f" gain="39322f" blacklevel="13107f" recolortarget="#5f625d [1447]"/>
                <v:path arrowok="t"/>
              </v:shape>
              <v:shape id="Picture 87"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8cEjDAAAA2wAAAA8AAABkcnMvZG93bnJldi54bWxEj0FrwkAUhO8F/8PyBG/1pR6qTV1FCgUp&#10;CJqWnl+zr9lg9m3Irib6612h0OMwM98wy/XgGnXmLtReNDxNM1AspTe1VBq+Pt8fF6BCJDHUeGEN&#10;Fw6wXo0elpQb38uBz0WsVIJIyEmDjbHNEUNp2VGY+pYleb++cxST7Co0HfUJ7hqcZdkzOqolLVhq&#10;+c1yeSxOTsPHxv7se8LhhFzgtfne8XH+ovVkPGxeQUUe4n/4r701GhZzuH9JPw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xwSM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41696" behindDoc="0" locked="0" layoutInCell="1" allowOverlap="1" wp14:anchorId="0B443505" wp14:editId="52B2AD53">
              <wp:simplePos x="0" y="0"/>
              <wp:positionH relativeFrom="column">
                <wp:posOffset>-556895</wp:posOffset>
              </wp:positionH>
              <wp:positionV relativeFrom="paragraph">
                <wp:posOffset>4003015</wp:posOffset>
              </wp:positionV>
              <wp:extent cx="603504" cy="836295"/>
              <wp:effectExtent l="0" t="0" r="6350" b="1905"/>
              <wp:wrapNone/>
              <wp:docPr id="88" name="Group 88"/>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89" name="Picture 89"/>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49D5F2E" id="Group 88" o:spid="_x0000_s1026" style="position:absolute;margin-left:-43.85pt;margin-top:315.2pt;width:47.5pt;height:65.85pt;rotation:180;z-index:251741696;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">
              <v:shape id="Picture 89"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6KPCAAAA2wAAAA8AAABkcnMvZG93bnJldi54bWxEj0GLwjAUhO8L/ofwBG9r6gqi1SgiW9CD&#10;iO4ePD6aZ1vbvJQm1vrvjSB4HGbmG2ax6kwlWmpcYVnBaBiBIE6tLjhT8P+XfE9BOI+ssbJMCh7k&#10;YLXsfS0w1vbOR2pPPhMBwi5GBbn3dSylS3My6Ia2Jg7exTYGfZBNJnWD9wA3lfyJook0WHBYyLGm&#10;TU5peboZBaW9JrvZ/tfUcpycdTnC9uBRqUG/W89BeOr8J/xub7WC6Qxe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iOijwgAAANsAAAAPAAAAAAAAAAAAAAAAAJ8C&#10;AABkcnMvZG93bnJldi54bWxQSwUGAAAAAAQABAD3AAAAjgMAAAAA&#10;">
                <v:imagedata r:id="rId2" o:title="" croptop="21721f" cropbottom="22071f" cropleft="11176f" cropright="30660f" gain="39322f" blacklevel="13107f" recolortarget="#5f625d [1447]"/>
                <v:path arrowok="t"/>
              </v:shape>
              <v:shape id="Picture 90"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fuHAAAAA2wAAAA8AAABkcnMvZG93bnJldi54bWxET01rwkAQvRf8D8sI3upED1ajq4gglEKh&#10;TYvnMTtmg9nZkF1N2l/fPRQ8Pt73Zje4Rt25C7UXDbNpBoql9KaWSsP31/F5CSpEEkONF9bwwwF2&#10;29HThnLje/nkexErlUIk5KTBxtjmiKG07ChMfcuSuIvvHMUEuwpNR30Kdw3Os2yBjmpJDZZaPlgu&#10;r8XNaXjb2/NHTzjckAv8bU7vfH1ZaT0ZD/s1qMhDfIj/3a9GwyqtT1/SD8D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0x+4cAAAADbAAAADwAAAAAAAAAAAAAAAACfAgAA&#10;ZHJzL2Rvd25yZXYueG1sUEsFBgAAAAAEAAQA9wAAAIwDAAAAAA==&#10;">
                <v:imagedata r:id="rId2" o:title="" croptop="32748f" cropbottom="22071f" cropleft="11176f" cropright="30660f" gain="39322f" blacklevel="13107f" recolortarget="#5f625d [1447]"/>
                <v:path arrowok="t"/>
              </v:shape>
            </v:group>
          </w:pict>
        </mc:Fallback>
      </mc:AlternateContent>
    </w:r>
    <w:r>
      <w:rPr>
        <w:sz w:val="20"/>
        <w:szCs w:val="20"/>
      </w:rPr>
      <w:tab/>
    </w:r>
    <w:r w:rsidRPr="00234383">
      <w:rPr>
        <w:sz w:val="20"/>
        <w:szCs w:val="20"/>
      </w:rPr>
      <w:fldChar w:fldCharType="begin"/>
    </w:r>
    <w:r w:rsidRPr="00234383">
      <w:rPr>
        <w:sz w:val="20"/>
        <w:szCs w:val="20"/>
      </w:rPr>
      <w:instrText xml:space="preserve"> PAGE  \* MERGEFORMAT </w:instrText>
    </w:r>
    <w:r w:rsidRPr="00234383">
      <w:rPr>
        <w:sz w:val="20"/>
        <w:szCs w:val="20"/>
      </w:rPr>
      <w:fldChar w:fldCharType="separate"/>
    </w:r>
    <w:r>
      <w:rPr>
        <w:noProof/>
        <w:sz w:val="20"/>
        <w:szCs w:val="20"/>
      </w:rPr>
      <w:t>4</w:t>
    </w:r>
    <w:r w:rsidRPr="00234383">
      <w:rPr>
        <w:sz w:val="20"/>
        <w:szCs w:val="20"/>
      </w:rPr>
      <w:fldChar w:fldCharType="end"/>
    </w:r>
    <w:r>
      <w:rPr>
        <w:sz w:val="20"/>
        <w:szCs w:val="20"/>
      </w:rPr>
      <w:tab/>
    </w:r>
    <w:r w:rsidRPr="005E3736">
      <w:rPr>
        <w:color w:val="D7D8D6" w:themeColor="accent4"/>
        <w:sz w:val="20"/>
        <w:szCs w:val="20"/>
      </w:rPr>
      <w:t xml:space="preserve"> </w:t>
    </w:r>
    <w:r>
      <w:rPr>
        <w:color w:val="D7D8D6" w:themeColor="accent4"/>
        <w:sz w:val="20"/>
        <w:szCs w:val="20"/>
      </w:rPr>
      <w:t>PUBLIC</w:t>
    </w:r>
    <w:r w:rsidRPr="005E3736">
      <w:rPr>
        <w:color w:val="D7D8D6" w:themeColor="accent4"/>
      </w:rPr>
      <w:fldChar w:fldCharType="begin"/>
    </w:r>
    <w:r w:rsidRPr="005E3736">
      <w:rPr>
        <w:color w:val="D7D8D6" w:themeColor="accent4"/>
      </w:rPr>
      <w:instrText xml:space="preserve">  \* MERGEFORMAT </w:instrText>
    </w:r>
    <w:r w:rsidRPr="005E3736">
      <w:rPr>
        <w:color w:val="D7D8D6" w:themeColor="accent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7048AE" w:rsidRDefault="00C93263" w:rsidP="007048AE">
    <w:pPr>
      <w:tabs>
        <w:tab w:val="center" w:pos="5040"/>
        <w:tab w:val="right" w:pos="10530"/>
        <w:tab w:val="right" w:pos="14400"/>
      </w:tabs>
      <w:spacing w:after="80"/>
      <w:ind w:right="29"/>
      <w:rPr>
        <w:color w:val="767676" w:themeColor="accent3"/>
        <w:sz w:val="20"/>
        <w:szCs w:val="20"/>
      </w:rPr>
    </w:pPr>
    <w:r w:rsidRPr="00171F2B">
      <w:rPr>
        <w:noProof/>
        <w:color w:val="FFFFFF" w:themeColor="background1"/>
        <w:sz w:val="20"/>
        <w:szCs w:val="20"/>
        <w:lang w:val="en-ZA" w:eastAsia="en-ZA"/>
      </w:rPr>
      <w:drawing>
        <wp:anchor distT="0" distB="0" distL="114300" distR="114300" simplePos="0" relativeHeight="251744768" behindDoc="0" locked="0" layoutInCell="1" allowOverlap="1" wp14:anchorId="7B9D3634" wp14:editId="59356F9C">
          <wp:simplePos x="0" y="0"/>
          <wp:positionH relativeFrom="margin">
            <wp:posOffset>-402590</wp:posOffset>
          </wp:positionH>
          <wp:positionV relativeFrom="margin">
            <wp:posOffset>8659495</wp:posOffset>
          </wp:positionV>
          <wp:extent cx="2313432" cy="121615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1216152"/>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20"/>
        <w:szCs w:val="20"/>
        <w:lang w:val="en-ZA" w:eastAsia="en-ZA"/>
      </w:rPr>
      <mc:AlternateContent>
        <mc:Choice Requires="wpg">
          <w:drawing>
            <wp:anchor distT="0" distB="0" distL="114300" distR="114300" simplePos="0" relativeHeight="251737600" behindDoc="0" locked="0" layoutInCell="1" allowOverlap="1" wp14:anchorId="7207A449" wp14:editId="2A3684F3">
              <wp:simplePos x="0" y="0"/>
              <wp:positionH relativeFrom="column">
                <wp:posOffset>-556895</wp:posOffset>
              </wp:positionH>
              <wp:positionV relativeFrom="paragraph">
                <wp:posOffset>1141604</wp:posOffset>
              </wp:positionV>
              <wp:extent cx="603504" cy="836295"/>
              <wp:effectExtent l="0" t="0" r="6350" b="1905"/>
              <wp:wrapNone/>
              <wp:docPr id="75" name="Group 75"/>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76" name="Picture 76"/>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Picture 77"/>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5C6E600" id="Group 75" o:spid="_x0000_s1026" style="position:absolute;margin-left:-43.85pt;margin-top:89.9pt;width:47.5pt;height:65.85pt;rotation:180;z-index:251737600;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DPbCAAAA2wAAAA8AAABkcnMvZG93bnJldi54bWxEj0GLwjAUhO8L/ofwBG9rqoK7VqOIWNCD&#10;LKsePD6aZ1vbvJQm1vrvjbCwx2FmvmEWq85UoqXGFZYVjIYRCOLU6oIzBedT8vkNwnlkjZVlUvAk&#10;B6tl72OBsbYP/qX26DMRIOxiVJB7X8dSujQng25oa+LgXW1j0AfZZFI3+AhwU8lxFE2lwYLDQo41&#10;bXJKy+PdKCjtLdnPDltTy0ly0eUI2x+PSg363XoOwlPn/8N/7Z1W8DWF95f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gz2wgAAANsAAAAPAAAAAAAAAAAAAAAAAJ8C&#10;AABkcnMvZG93bnJldi54bWxQSwUGAAAAAAQABAD3AAAAjgMAAAAA&#10;">
                <v:imagedata r:id="rId2" o:title="" croptop="21721f" cropbottom="22071f" cropleft="11176f" cropright="30660f" gain="39322f" blacklevel="13107f" recolortarget="#5f625d [1447]"/>
                <v:path arrowok="t"/>
              </v:shape>
              <v:shape id="Picture 77"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AG/DAAAA2wAAAA8AAABkcnMvZG93bnJldi54bWxEj0FLw0AUhO8F/8PyBG/tix5MTbsNRRBE&#10;EDQVz8/sazYk+zZkt03017uC0OMwM98w23J2vTrzGFovGm5XGSiW2ptWGg0fh6flGlSIJIZ6L6zh&#10;mwOUu6vFlgrjJ3nncxUblSASCtJgYxwKxFBbdhRWfmBJ3tGPjmKSY4NmpCnBXY93WXaPjlpJC5YG&#10;frRcd9XJaXjZ26+3iXA+IVf403++cpc/aH1zPe83oCLP8RL+bz8bDXkOf1/SD8D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kAb8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36576" behindDoc="0" locked="0" layoutInCell="1" allowOverlap="1" wp14:anchorId="08971EA5" wp14:editId="287F548B">
              <wp:simplePos x="0" y="0"/>
              <wp:positionH relativeFrom="column">
                <wp:posOffset>-556895</wp:posOffset>
              </wp:positionH>
              <wp:positionV relativeFrom="paragraph">
                <wp:posOffset>2679203</wp:posOffset>
              </wp:positionV>
              <wp:extent cx="603504" cy="836295"/>
              <wp:effectExtent l="0" t="0" r="6350" b="1905"/>
              <wp:wrapNone/>
              <wp:docPr id="78" name="Group 78"/>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79" name="Picture 79"/>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0B2458A" id="Group 78" o:spid="_x0000_s1026" style="position:absolute;margin-left:-43.85pt;margin-top:210.95pt;width:47.5pt;height:65.85pt;rotation:180;z-index:251736576;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">
              <v:shape id="Picture 79"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mITDAAAA2wAAAA8AAABkcnMvZG93bnJldi54bWxEj0+LwjAUxO+C3yE8YW+ausKq1SgiW1gP&#10;i/jn4PHRPNva5qU0sdZvv1kQPA4z8xtmue5MJVpqXGFZwXgUgSBOrS44U3A+JcMZCOeRNVaWScGT&#10;HKxX/d4SY20ffKD26DMRIOxiVJB7X8dSujQng25ka+LgXW1j0AfZZFI3+AhwU8nPKPqSBgsOCznW&#10;tM0pLY93o6C0t2Q3//02tZwkF12Osd17VOpj0G0WIDx1/h1+tX+0gukc/r+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2YhMMAAADbAAAADwAAAAAAAAAAAAAAAACf&#10;AgAAZHJzL2Rvd25yZXYueG1sUEsFBgAAAAAEAAQA9wAAAI8DAAAAAA==&#10;">
                <v:imagedata r:id="rId2" o:title="" croptop="21721f" cropbottom="22071f" cropleft="11176f" cropright="30660f" gain="39322f" blacklevel="13107f" recolortarget="#5f625d [1447]"/>
                <v:path arrowok="t"/>
              </v:shape>
              <v:shape id="Picture 80"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6DzAAAAA2wAAAA8AAABkcnMvZG93bnJldi54bWxET01rwkAQvRf8D8sIvdWJHqxGVxFBEKHQ&#10;psXzmB2zwexsyK4m7a/vHgo9Pt73eju4Rj24C7UXDdNJBoql9KaWSsPX5+FlASpEEkONF9bwzQG2&#10;m9HTmnLje/ngRxErlUIk5KTBxtjmiKG07ChMfMuSuKvvHMUEuwpNR30Kdw3OsmyOjmpJDZZa3lsu&#10;b8XdaTjt7OW9JxzuyAX+NOc3vr0utX4eD7sVqMhD/Bf/uY9GwyKtT1/SD8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XoPMAAAADbAAAADwAAAAAAAAAAAAAAAACfAgAA&#10;ZHJzL2Rvd25yZXYueG1sUEsFBgAAAAAEAAQA9wAAAIwDAAAAAA==&#10;">
                <v:imagedata r:id="rId2"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35552" behindDoc="0" locked="0" layoutInCell="1" allowOverlap="1" wp14:anchorId="37DB1F9B" wp14:editId="6C583F3E">
              <wp:simplePos x="0" y="0"/>
              <wp:positionH relativeFrom="column">
                <wp:posOffset>-556895</wp:posOffset>
              </wp:positionH>
              <wp:positionV relativeFrom="paragraph">
                <wp:posOffset>4003015</wp:posOffset>
              </wp:positionV>
              <wp:extent cx="603504" cy="836295"/>
              <wp:effectExtent l="0" t="0" r="6350" b="1905"/>
              <wp:wrapNone/>
              <wp:docPr id="81" name="Group 81"/>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82" name="Picture 82"/>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 name="Picture 83"/>
                        <pic:cNvPicPr>
                          <a:picLocks noChangeAspect="1"/>
                        </pic:cNvPicPr>
                      </pic:nvPicPr>
                      <pic:blipFill rotWithShape="1">
                        <a:blip r:embed="rId1"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75A270C" id="Group 81" o:spid="_x0000_s1026" style="position:absolute;margin-left:-43.85pt;margin-top:315.2pt;width:47.5pt;height:65.85pt;rotation:180;z-index:251735552;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">
              <v:shape id="Picture 82"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etLCAAAA2wAAAA8AAABkcnMvZG93bnJldi54bWxEj0GLwjAUhO8L/ofwBG9rqsKi1SgiFtyD&#10;LFYPHh/Ns61tXkoTa/ffm4UFj8PMfMOsNr2pRUetKy0rmIwjEMSZ1SXnCi7n5HMOwnlkjbVlUvBL&#10;DjbrwccKY22ffKIu9bkIEHYxKii8b2IpXVaQQTe2DXHwbrY16INsc6lbfAa4qeU0ir6kwZLDQoEN&#10;7QrKqvRhFFT2nnwvjnvTyFly1dUEux+PSo2G/XYJwlPv3+H/9kErmE/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HrSwgAAANsAAAAPAAAAAAAAAAAAAAAAAJ8C&#10;AABkcnMvZG93bnJldi54bWxQSwUGAAAAAAQABAD3AAAAjgMAAAAA&#10;">
                <v:imagedata r:id="rId2" o:title="" croptop="21721f" cropbottom="22071f" cropleft="11176f" cropright="30660f" gain="39322f" blacklevel="13107f" recolortarget="#5f625d [1447]"/>
                <v:path arrowok="t"/>
              </v:shape>
              <v:shape id="Picture 83"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dkvDAAAA2wAAAA8AAABkcnMvZG93bnJldi54bWxEj1FrwkAQhN8L/odjC77VTS1Ym3qKCEIR&#10;BJuWPm9z21wwtxdyp4n+eq9Q6OMwM98wi9XgGnXmLtReNDxOMlAspTe1VBo+P7YPc1AhkhhqvLCG&#10;CwdYLUd3C8qN7+Wdz0WsVIJIyEmDjbHNEUNp2VGY+JYleT++cxST7Co0HfUJ7hqcZtkMHdWSFiy1&#10;vLFcHouT07Bb2+9DTzickAu8Nl97Pj6/aD2+H9avoCIP8T/8134zGuZP8Psl/Q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d2S8MAAADbAAAADwAAAAAAAAAAAAAAAACf&#10;AgAAZHJzL2Rvd25yZXYueG1sUEsFBgAAAAAEAAQA9wAAAI8DAAAAAA==&#10;">
                <v:imagedata r:id="rId2" o:title="" croptop="32748f" cropbottom="22071f" cropleft="11176f" cropright="30660f" gain="39322f" blacklevel="13107f" recolortarget="#5f625d [1447]"/>
                <v:path arrowok="t"/>
              </v:shape>
            </v:group>
          </w:pict>
        </mc:Fallback>
      </mc:AlternateContent>
    </w:r>
    <w:r>
      <w:rPr>
        <w:sz w:val="20"/>
        <w:szCs w:val="20"/>
      </w:rPr>
      <w:tab/>
    </w:r>
    <w:r w:rsidRPr="007048AE">
      <w:rPr>
        <w:vanish/>
        <w:sz w:val="20"/>
        <w:szCs w:val="20"/>
      </w:rPr>
      <w:fldChar w:fldCharType="begin"/>
    </w:r>
    <w:r w:rsidRPr="007048AE">
      <w:rPr>
        <w:vanish/>
        <w:sz w:val="20"/>
        <w:szCs w:val="20"/>
      </w:rPr>
      <w:instrText xml:space="preserve"> PAGE  \* MERGEFORMAT </w:instrText>
    </w:r>
    <w:r w:rsidRPr="007048AE">
      <w:rPr>
        <w:vanish/>
        <w:sz w:val="20"/>
        <w:szCs w:val="20"/>
      </w:rPr>
      <w:fldChar w:fldCharType="separate"/>
    </w:r>
    <w:r w:rsidR="00E8101C">
      <w:rPr>
        <w:noProof/>
        <w:vanish/>
        <w:sz w:val="20"/>
        <w:szCs w:val="20"/>
      </w:rPr>
      <w:t>0</w:t>
    </w:r>
    <w:r w:rsidRPr="007048AE">
      <w:rPr>
        <w:vanish/>
        <w:sz w:val="20"/>
        <w:szCs w:val="20"/>
      </w:rPr>
      <w:fldChar w:fldCharType="end"/>
    </w:r>
    <w:r>
      <w:rPr>
        <w:sz w:val="20"/>
        <w:szCs w:val="20"/>
      </w:rPr>
      <w:tab/>
    </w:r>
    <w:r w:rsidRPr="007048AE">
      <w:rPr>
        <w:color w:val="767676" w:themeColor="accent3"/>
        <w:sz w:val="20"/>
        <w:szCs w:val="20"/>
      </w:rPr>
      <w:t xml:space="preserve"> </w:t>
    </w:r>
    <w:r>
      <w:rPr>
        <w:color w:val="767676" w:themeColor="accent3"/>
        <w:sz w:val="20"/>
        <w:szCs w:val="20"/>
      </w:rPr>
      <w:t>PUBLIC</w:t>
    </w:r>
    <w:r w:rsidRPr="007048AE">
      <w:rPr>
        <w:color w:val="767676" w:themeColor="accent3"/>
      </w:rPr>
      <w:fldChar w:fldCharType="begin"/>
    </w:r>
    <w:r w:rsidRPr="007048AE">
      <w:rPr>
        <w:color w:val="767676" w:themeColor="accent3"/>
      </w:rPr>
      <w:instrText xml:space="preserve">  \* MERGEFORMAT </w:instrText>
    </w:r>
    <w:r w:rsidRPr="007048AE">
      <w:rPr>
        <w:color w:val="767676" w:themeColor="accent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574CA" w:rsidRDefault="00C93263" w:rsidP="00C74F6A">
    <w:pPr>
      <w:tabs>
        <w:tab w:val="left" w:pos="5040"/>
        <w:tab w:val="right" w:pos="10530"/>
        <w:tab w:val="right" w:pos="14400"/>
      </w:tabs>
      <w:ind w:right="27"/>
      <w:rPr>
        <w:rFonts w:asciiTheme="minorHAnsi" w:hAnsiTheme="minorHAnsi" w:cstheme="minorHAnsi"/>
        <w:color w:val="000000" w:themeColor="text1"/>
        <w:sz w:val="20"/>
        <w:szCs w:val="20"/>
      </w:rPr>
    </w:pPr>
    <w:r w:rsidRPr="00C64498">
      <w:rPr>
        <w:noProof/>
        <w:lang w:val="en-ZA" w:eastAsia="en-ZA"/>
      </w:rPr>
      <w:drawing>
        <wp:anchor distT="0" distB="0" distL="114300" distR="114300" simplePos="0" relativeHeight="251790848" behindDoc="1" locked="0" layoutInCell="1" allowOverlap="1" wp14:anchorId="520A70E7" wp14:editId="759A1FE3">
          <wp:simplePos x="0" y="0"/>
          <wp:positionH relativeFrom="margin">
            <wp:align>center</wp:align>
          </wp:positionH>
          <wp:positionV relativeFrom="paragraph">
            <wp:posOffset>4445</wp:posOffset>
          </wp:positionV>
          <wp:extent cx="7635240" cy="10753344"/>
          <wp:effectExtent l="0" t="0" r="381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t="397" b="5773"/>
                  <a:stretch/>
                </pic:blipFill>
                <pic:spPr bwMode="auto">
                  <a:xfrm>
                    <a:off x="0" y="0"/>
                    <a:ext cx="7635240" cy="10753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263" w:rsidRDefault="00C93263" w:rsidP="00C74F6A"/>
  <w:p w:rsidR="00C93263" w:rsidRPr="008116AB" w:rsidRDefault="00C93263" w:rsidP="00C74F6A">
    <w:pPr>
      <w:tabs>
        <w:tab w:val="center" w:pos="5040"/>
        <w:tab w:val="right" w:pos="10530"/>
        <w:tab w:val="right" w:pos="14400"/>
      </w:tabs>
      <w:spacing w:after="80"/>
      <w:ind w:right="29"/>
      <w:rPr>
        <w:color w:val="D7D8D6" w:themeColor="accent4"/>
        <w:sz w:val="20"/>
        <w:szCs w:val="20"/>
      </w:rPr>
    </w:pPr>
    <w:r w:rsidRPr="00171F2B">
      <w:rPr>
        <w:noProof/>
        <w:color w:val="FFFFFF" w:themeColor="background1"/>
        <w:sz w:val="20"/>
        <w:szCs w:val="20"/>
        <w:lang w:val="en-ZA" w:eastAsia="en-ZA"/>
      </w:rPr>
      <w:drawing>
        <wp:anchor distT="0" distB="0" distL="114300" distR="114300" simplePos="0" relativeHeight="251794944" behindDoc="0" locked="0" layoutInCell="1" allowOverlap="1" wp14:anchorId="34C63CBB" wp14:editId="34148FC0">
          <wp:simplePos x="0" y="0"/>
          <wp:positionH relativeFrom="margin">
            <wp:posOffset>-402590</wp:posOffset>
          </wp:positionH>
          <wp:positionV relativeFrom="margin">
            <wp:posOffset>8659495</wp:posOffset>
          </wp:positionV>
          <wp:extent cx="2313432" cy="1216152"/>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3432" cy="1216152"/>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20"/>
        <w:szCs w:val="20"/>
        <w:lang w:val="en-ZA" w:eastAsia="en-ZA"/>
      </w:rPr>
      <mc:AlternateContent>
        <mc:Choice Requires="wpg">
          <w:drawing>
            <wp:anchor distT="0" distB="0" distL="114300" distR="114300" simplePos="0" relativeHeight="251793920" behindDoc="0" locked="0" layoutInCell="1" allowOverlap="1" wp14:anchorId="13DB8CF9" wp14:editId="68BBE639">
              <wp:simplePos x="0" y="0"/>
              <wp:positionH relativeFrom="column">
                <wp:posOffset>-556895</wp:posOffset>
              </wp:positionH>
              <wp:positionV relativeFrom="paragraph">
                <wp:posOffset>1141604</wp:posOffset>
              </wp:positionV>
              <wp:extent cx="603504" cy="836295"/>
              <wp:effectExtent l="0" t="0" r="6350" b="1905"/>
              <wp:wrapNone/>
              <wp:docPr id="22" name="Group 22"/>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23" name="Picture 23"/>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F04871A" id="Group 22" o:spid="_x0000_s1026" style="position:absolute;margin-left:-43.85pt;margin-top:89.9pt;width:47.5pt;height:65.85pt;rotation:180;z-index:251793920;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gHPEAAAA2wAAAA8AAABkcnMvZG93bnJldi54bWxEj0Frg0AUhO+B/IflBXqLayKUxrgJJURo&#10;D6XU9NDjw31Rq/tW3K2af58tFHocZuYbJjvOphMjDa6xrGATxSCIS6sbrhR8XvL1EwjnkTV2lknB&#10;jRwcD8tFhqm2E3/QWPhKBAi7FBXU3veplK6syaCLbE8cvKsdDPogh0rqAacAN53cxvGjNNhwWKix&#10;p1NNZVv8GAWt/c5fd29n08sk/9LtBsd3j0o9rObnPQhPs/8P/7VftIJtAr9fwg+Qh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GgHPEAAAA2wAAAA8AAAAAAAAAAAAAAAAA&#10;nwIAAGRycy9kb3ducmV2LnhtbFBLBQYAAAAABAAEAPcAAACQAwAAAAA=&#10;">
                <v:imagedata r:id="rId3" o:title="" croptop="21721f" cropbottom="22071f" cropleft="11176f" cropright="30660f" gain="39322f" blacklevel="13107f" recolortarget="#5f625d [1447]"/>
                <v:path arrowok="t"/>
              </v:shape>
              <v:shape id="Picture 24"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sQXDAAAA2wAAAA8AAABkcnMvZG93bnJldi54bWxEj1FrwkAQhN8L/odjBd/qpiK2TT1FCgUR&#10;BJuWPm9z21wwtxdyp4n+eq9Q6OMwM98wy/XgGnXmLtReNDxMM1AspTe1VBo+P97un0CFSGKo8cIa&#10;LhxgvRrdLSk3vpd3PhexUgkiIScNNsY2RwylZUdh6luW5P34zlFMsqvQdNQnuGtwlmULdFRLWrDU&#10;8qvl8licnIbdxn4fesLhhFzgtfna8/HxWevJeNi8gIo8xP/wX3trNMzm8Psl/Q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ixBcMAAADbAAAADwAAAAAAAAAAAAAAAACf&#10;AgAAZHJzL2Rvd25yZXYueG1sUEsFBgAAAAAEAAQA9wAAAI8DAAAAAA==&#10;">
                <v:imagedata r:id="rId3"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92896" behindDoc="0" locked="0" layoutInCell="1" allowOverlap="1" wp14:anchorId="0B7C1AA3" wp14:editId="33169158">
              <wp:simplePos x="0" y="0"/>
              <wp:positionH relativeFrom="column">
                <wp:posOffset>-556895</wp:posOffset>
              </wp:positionH>
              <wp:positionV relativeFrom="paragraph">
                <wp:posOffset>2679203</wp:posOffset>
              </wp:positionV>
              <wp:extent cx="603504" cy="836295"/>
              <wp:effectExtent l="0" t="0" r="6350" b="1905"/>
              <wp:wrapNone/>
              <wp:docPr id="25" name="Group 25"/>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27" name="Picture 27"/>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32801AC" id="Group 25" o:spid="_x0000_s1026" style="position:absolute;margin-left:-43.85pt;margin-top:210.95pt;width:47.5pt;height:65.85pt;rotation:180;z-index:251792896;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">
              <v:shape id="Picture 27"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hnDCAAAA2wAAAA8AAABkcnMvZG93bnJldi54bWxEj0GLwjAUhO+C/yE8YW+aqrCu1SgiFtbD&#10;IqsePD6aZ1vbvJQm1vrvNwuCx2FmvmGW685UoqXGFZYVjEcRCOLU6oIzBedTMvwC4TyyxsoyKXiS&#10;g/Wq31tirO2Df6k9+kwECLsYFeTe17GULs3JoBvZmjh4V9sY9EE2mdQNPgLcVHISRZ/SYMFhIcea&#10;tjml5fFuFJT2luznPztTy2ly0eUY24NHpT4G3WYBwlPn3+FX+1srmMzg/0v4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YZwwgAAANsAAAAPAAAAAAAAAAAAAAAAAJ8C&#10;AABkcnMvZG93bnJldi54bWxQSwUGAAAAAAQABAD3AAAAjgMAAAAA&#10;">
                <v:imagedata r:id="rId3" o:title="" croptop="21721f" cropbottom="22071f" cropleft="11176f" cropright="30660f" gain="39322f" blacklevel="13107f" recolortarget="#5f625d [1447]"/>
                <v:path arrowok="t"/>
              </v:shape>
              <v:shape id="Picture 28"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uwDAAAAA2wAAAA8AAABkcnMvZG93bnJldi54bWxET01rwkAQvRf8D8sI3upED7ZGVxFBKAWh&#10;TYvnMTtmg9nZkF1N7K/vHgo9Pt73eju4Rt25C7UXDbNpBoql9KaWSsP31+H5FVSIJIYaL6zhwQG2&#10;m9HTmnLje/nkexErlUIk5KTBxtjmiKG07ChMfcuSuIvvHMUEuwpNR30Kdw3Os2yBjmpJDZZa3lsu&#10;r8XNaXjf2fNHTzjckAv8aU5Hvr4stZ6Mh90KVOQh/ov/3G9GwzyNTV/SD8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W7AMAAAADbAAAADwAAAAAAAAAAAAAAAACfAgAA&#10;ZHJzL2Rvd25yZXYueG1sUEsFBgAAAAAEAAQA9wAAAIwDAAAAAA==&#10;">
                <v:imagedata r:id="rId3"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91872" behindDoc="0" locked="0" layoutInCell="1" allowOverlap="1" wp14:anchorId="03D2A44E" wp14:editId="42F5F4D1">
              <wp:simplePos x="0" y="0"/>
              <wp:positionH relativeFrom="column">
                <wp:posOffset>-556895</wp:posOffset>
              </wp:positionH>
              <wp:positionV relativeFrom="paragraph">
                <wp:posOffset>4003015</wp:posOffset>
              </wp:positionV>
              <wp:extent cx="603504" cy="836295"/>
              <wp:effectExtent l="0" t="0" r="6350" b="1905"/>
              <wp:wrapNone/>
              <wp:docPr id="29" name="Group 29"/>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30" name="Picture 30"/>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Picture 224"/>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D379289" id="Group 29" o:spid="_x0000_s1026" style="position:absolute;margin-left:-43.85pt;margin-top:315.2pt;width:47.5pt;height:65.85pt;rotation:180;z-index:251791872;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">
              <v:shape id="Picture 30"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iNnAAAAA2wAAAA8AAABkcnMvZG93bnJldi54bWxET02LwjAQvS/4H8II3ta0CrJ2jWURC3oQ&#10;WfXgcWhm226bSWlirf/eHASPj/e9SgfTiJ46V1lWEE8jEMS51RUXCi7n7PMLhPPIGhvLpOBBDtL1&#10;6GOFibZ3/qX+5AsRQtglqKD0vk2kdHlJBt3UtsSB+7OdQR9gV0jd4T2Em0bOomghDVYcGkpsaVNS&#10;Xp9uRkFt/7P98rA1rZxnV13H2B89KjUZDz/fIDwN/i1+uXdawTysD1/C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2I2cAAAADbAAAADwAAAAAAAAAAAAAAAACfAgAA&#10;ZHJzL2Rvd25yZXYueG1sUEsFBgAAAAAEAAQA9wAAAIwDAAAAAA==&#10;">
                <v:imagedata r:id="rId3" o:title="" croptop="21721f" cropbottom="22071f" cropleft="11176f" cropright="30660f" gain="39322f" blacklevel="13107f" recolortarget="#5f625d [1447]"/>
                <v:path arrowok="t"/>
              </v:shape>
              <v:shape id="Picture 224"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AEbEAAAA3AAAAA8AAABkcnMvZG93bnJldi54bWxEj1FLw0AQhN8F/8Oxgm920yBq015LEQQR&#10;BE2lz9vcNhea2wu5a5P213uC0MdhZr5hFqvRterEfWi8aJhOMlAslTeN1Bp+Nm8PL6BCJDHUemEN&#10;Zw6wWt7eLKgwfpBvPpWxVgkioSANNsauQAyVZUdh4juW5O197ygm2ddoehoS3LWYZ9kTOmokLVjq&#10;+NVydSiPTsPH2u6+BsLxiFzipd1+8uF5pvX93bieg4o8xmv4v/1uNOT5I/ydSUcA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HAEbEAAAA3AAAAA8AAAAAAAAAAAAAAAAA&#10;nwIAAGRycy9kb3ducmV2LnhtbFBLBQYAAAAABAAEAPcAAACQAwAAAAA=&#10;">
                <v:imagedata r:id="rId3" o:title="" croptop="32748f" cropbottom="22071f" cropleft="11176f" cropright="30660f" gain="39322f" blacklevel="13107f" recolortarget="#5f625d [1447]"/>
                <v:path arrowok="t"/>
              </v:shape>
            </v:group>
          </w:pict>
        </mc:Fallback>
      </mc:AlternateContent>
    </w:r>
    <w:r>
      <w:rPr>
        <w:sz w:val="20"/>
        <w:szCs w:val="20"/>
      </w:rPr>
      <w:tab/>
    </w:r>
    <w:r>
      <w:rPr>
        <w:noProof/>
        <w:color w:val="FFFFFF" w:themeColor="background1"/>
        <w:sz w:val="20"/>
        <w:szCs w:val="20"/>
        <w:lang w:val="en-ZA" w:eastAsia="en-ZA"/>
      </w:rPr>
      <mc:AlternateContent>
        <mc:Choice Requires="wpg">
          <w:drawing>
            <wp:anchor distT="0" distB="0" distL="114300" distR="114300" simplePos="0" relativeHeight="251789824" behindDoc="0" locked="0" layoutInCell="1" allowOverlap="1" wp14:anchorId="70BDBD68" wp14:editId="3A18238F">
              <wp:simplePos x="0" y="0"/>
              <wp:positionH relativeFrom="column">
                <wp:posOffset>-556895</wp:posOffset>
              </wp:positionH>
              <wp:positionV relativeFrom="paragraph">
                <wp:posOffset>1141604</wp:posOffset>
              </wp:positionV>
              <wp:extent cx="603504" cy="836295"/>
              <wp:effectExtent l="0" t="0" r="6350" b="1905"/>
              <wp:wrapNone/>
              <wp:docPr id="225" name="Group 225"/>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226" name="Picture 226"/>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2E40510" id="Group 225" o:spid="_x0000_s1026" style="position:absolute;margin-left:-43.85pt;margin-top:89.9pt;width:47.5pt;height:65.85pt;rotation:180;z-index:251789824;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">
              <v:shape id="Picture 226"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o6RrEAAAA3AAAAA8AAABkcnMvZG93bnJldi54bWxEj0Frg0AUhO+F/oflFXKrawxIarIJIURo&#10;D6XE9tDjw31Ro/tW3K3af98tBHIcZuYbZrufTSdGGlxjWcEyikEQl1Y3XCn4+syf1yCcR9bYWSYF&#10;v+Rgv3t82GKm7cRnGgtfiQBhl6GC2vs+k9KVNRl0ke2Jg3exg0Ef5FBJPeAU4KaTSRyn0mDDYaHG&#10;no41lW3xYxS09pq/vbyfTC9X+bdulzh+eFRq8TQfNiA8zf4evrVftYIkSeH/TDg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o6RrEAAAA3AAAAA8AAAAAAAAAAAAAAAAA&#10;nwIAAGRycy9kb3ducmV2LnhtbFBLBQYAAAAABAAEAPcAAACQAwAAAAA=&#10;">
                <v:imagedata r:id="rId3" o:title="" croptop="21721f" cropbottom="22071f" cropleft="11176f" cropright="30660f" gain="39322f" blacklevel="13107f" recolortarget="#5f625d [1447]"/>
                <v:path arrowok="t"/>
              </v:shape>
              <v:shape id="Picture 227"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njHEAAAA3AAAAA8AAABkcnMvZG93bnJldi54bWxEj0FrwkAUhO+F/oflFXqrL+ZQ2+gqUiiU&#10;gqBp6fmZfWaD2bchu5rYX98VhB6HmfmGWaxG16oz96HxomE6yUCxVN40Umv4/np/egEVIomh1gtr&#10;uHCA1fL+bkGF8YPs+FzGWiWIhII02Bi7AjFUlh2Fie9YknfwvaOYZF+j6WlIcNdinmXP6KiRtGCp&#10;4zfL1bE8OQ2fa7vfDoTjCbnE3/Znw8fZq9aPD+N6DiryGP/Dt/aH0ZDnM7ieSUc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VnjHEAAAA3AAAAA8AAAAAAAAAAAAAAAAA&#10;nwIAAGRycy9kb3ducmV2LnhtbFBLBQYAAAAABAAEAPcAAACQAwAAAAA=&#10;">
                <v:imagedata r:id="rId3"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88800" behindDoc="0" locked="0" layoutInCell="1" allowOverlap="1" wp14:anchorId="4B190AA0" wp14:editId="1AB988A0">
              <wp:simplePos x="0" y="0"/>
              <wp:positionH relativeFrom="column">
                <wp:posOffset>-556895</wp:posOffset>
              </wp:positionH>
              <wp:positionV relativeFrom="paragraph">
                <wp:posOffset>2679203</wp:posOffset>
              </wp:positionV>
              <wp:extent cx="603504" cy="836295"/>
              <wp:effectExtent l="0" t="0" r="6350" b="1905"/>
              <wp:wrapNone/>
              <wp:docPr id="228" name="Group 228"/>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229" name="Picture 229"/>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6524884" id="Group 228" o:spid="_x0000_s1026" style="position:absolute;margin-left:-43.85pt;margin-top:210.95pt;width:47.5pt;height:65.85pt;rotation:180;z-index:251788800;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">
              <v:shape id="Picture 229"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3fWjDAAAA3AAAAA8AAABkcnMvZG93bnJldi54bWxEj0GLwjAUhO+C/yE8YW+aWkG0GkVkC+5B&#10;RHcPHh/Ns61tXkqTrd1/vxEEj8PMfMOst72pRUetKy0rmE4iEMSZ1SXnCn6+0/EChPPIGmvLpOCP&#10;HGw3w8EaE20ffKbu4nMRIOwSVFB43yRSuqwgg25iG+Lg3Wxr0AfZ5lK3+AhwU8s4iubSYMlhocCG&#10;9gVl1eXXKKjsPf1aHj9NI2fpVVdT7E4elfoY9bsVCE+9f4df7YNWEMdLeJ4JR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9aMMAAADcAAAADwAAAAAAAAAAAAAAAACf&#10;AgAAZHJzL2Rvd25yZXYueG1sUEsFBgAAAAAEAAQA9wAAAI8DAAAAAA==&#10;">
                <v:imagedata r:id="rId3" o:title="" croptop="21721f" cropbottom="22071f" cropleft="11176f" cropright="30660f" gain="39322f" blacklevel="13107f" recolortarget="#5f625d [1447]"/>
                <v:path arrowok="t"/>
              </v:shape>
              <v:shape id="Picture 230"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kJjBAAAA3AAAAA8AAABkcnMvZG93bnJldi54bWxET01rwkAQvRf8D8sIvdVJLVibuooUCqUg&#10;2Cg9T7PTbDA7G7Krif569yB4fLzvxWpwjTpxF2ovGp4nGSiW0ptaKg373efTHFSIJIYaL6zhzAFW&#10;y9HDgnLje/nhUxErlUIk5KTBxtjmiKG07ChMfMuSuH/fOYoJdhWajvoU7hqcZtkMHdWSGiy1/GG5&#10;PBRHp+F7bf+2PeFwRC7w0vxu+PD6pvXjeFi/g4o8xLv45v4yGqYvaX46k44AL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lkJjBAAAA3AAAAA8AAAAAAAAAAAAAAAAAnwIA&#10;AGRycy9kb3ducmV2LnhtbFBLBQYAAAAABAAEAPcAAACNAwAAAAA=&#10;">
                <v:imagedata r:id="rId3" o:title="" croptop="32748f" cropbottom="22071f" cropleft="11176f" cropright="30660f" gain="39322f" blacklevel="13107f" recolortarget="#5f625d [1447]"/>
                <v:path arrowok="t"/>
              </v:shape>
            </v:group>
          </w:pict>
        </mc:Fallback>
      </mc:AlternateContent>
    </w:r>
    <w:r>
      <w:rPr>
        <w:noProof/>
        <w:color w:val="FFFFFF" w:themeColor="background1"/>
        <w:sz w:val="20"/>
        <w:szCs w:val="20"/>
        <w:lang w:val="en-ZA" w:eastAsia="en-ZA"/>
      </w:rPr>
      <mc:AlternateContent>
        <mc:Choice Requires="wpg">
          <w:drawing>
            <wp:anchor distT="0" distB="0" distL="114300" distR="114300" simplePos="0" relativeHeight="251787776" behindDoc="0" locked="0" layoutInCell="1" allowOverlap="1" wp14:anchorId="5ABB1633" wp14:editId="564F8595">
              <wp:simplePos x="0" y="0"/>
              <wp:positionH relativeFrom="column">
                <wp:posOffset>-556895</wp:posOffset>
              </wp:positionH>
              <wp:positionV relativeFrom="paragraph">
                <wp:posOffset>4003015</wp:posOffset>
              </wp:positionV>
              <wp:extent cx="603504" cy="836295"/>
              <wp:effectExtent l="0" t="0" r="6350" b="1905"/>
              <wp:wrapNone/>
              <wp:docPr id="233" name="Group 233"/>
              <wp:cNvGraphicFramePr/>
              <a:graphic xmlns:a="http://schemas.openxmlformats.org/drawingml/2006/main">
                <a:graphicData uri="http://schemas.microsoft.com/office/word/2010/wordprocessingGroup">
                  <wpg:wgp>
                    <wpg:cNvGrpSpPr/>
                    <wpg:grpSpPr>
                      <a:xfrm rot="10800000">
                        <a:off x="0" y="0"/>
                        <a:ext cx="603504" cy="836295"/>
                        <a:chOff x="0" y="0"/>
                        <a:chExt cx="596147" cy="836777"/>
                      </a:xfrm>
                    </wpg:grpSpPr>
                    <pic:pic xmlns:pic="http://schemas.openxmlformats.org/drawingml/2006/picture">
                      <pic:nvPicPr>
                        <pic:cNvPr id="234" name="Picture 234"/>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33143" r="46784" b="33678"/>
                        <a:stretch/>
                      </pic:blipFill>
                      <pic:spPr bwMode="auto">
                        <a:xfrm rot="5400000">
                          <a:off x="-216535" y="217652"/>
                          <a:ext cx="835660" cy="40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rotWithShape="1">
                        <a:blip r:embed="rId2" cstate="print">
                          <a:duotone>
                            <a:schemeClr val="accent4">
                              <a:shade val="45000"/>
                              <a:satMod val="135000"/>
                            </a:schemeClr>
                            <a:prstClr val="white"/>
                          </a:duotone>
                          <a:lum bright="40000" contrast="-40000"/>
                          <a:extLst>
                            <a:ext uri="{28A0092B-C50C-407E-A947-70E740481C1C}">
                              <a14:useLocalDpi xmlns:a14="http://schemas.microsoft.com/office/drawing/2010/main" val="0"/>
                            </a:ext>
                          </a:extLst>
                        </a:blip>
                        <a:srcRect l="17053" t="49970" r="46784" b="33678"/>
                        <a:stretch/>
                      </pic:blipFill>
                      <pic:spPr bwMode="auto">
                        <a:xfrm rot="5400000">
                          <a:off x="79892" y="318135"/>
                          <a:ext cx="834390" cy="198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71E4BCD" id="Group 233" o:spid="_x0000_s1026" style="position:absolute;margin-left:-43.85pt;margin-top:315.2pt;width:47.5pt;height:65.85pt;rotation:180;z-index:251787776;mso-width-relative:margin" coordsize="5961,8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">
              <v:shape id="Picture 234" o:spid="_x0000_s1027" type="#_x0000_t75" style="position:absolute;left:-2165;top:2176;width:8356;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RCvEAAAA3AAAAA8AAABkcnMvZG93bnJldi54bWxEj0uLwkAQhO8L/oehBW868YFo1lFEDOhB&#10;Fh+HPTaZ3iSbTE/IjDH+e0dY2GNRVV9Rq01nKtFS4wrLCsajCARxanXBmYLbNRkuQDiPrLGyTAqe&#10;5GCz7n2sMNb2wWdqLz4TAcIuRgW593UspUtzMuhGtiYO3o9tDPogm0zqBh8Bbio5iaK5NFhwWMix&#10;pl1OaXm5GwWl/U2Oy9Pe1HKafOtyjO2XR6UG/W77CcJT5//Df+2DVjCZzuB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vRCvEAAAA3AAAAA8AAAAAAAAAAAAAAAAA&#10;nwIAAGRycy9kb3ducmV2LnhtbFBLBQYAAAAABAAEAPcAAACQAwAAAAA=&#10;">
                <v:imagedata r:id="rId3" o:title="" croptop="21721f" cropbottom="22071f" cropleft="11176f" cropright="30660f" gain="39322f" blacklevel="13107f" recolortarget="#5f625d [1447]"/>
                <v:path arrowok="t"/>
              </v:shape>
              <v:shape id="Picture 235" o:spid="_x0000_s1028" type="#_x0000_t75" style="position:absolute;left:799;top:3181;width:8343;height:1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SMwDEAAAA3AAAAA8AAABkcnMvZG93bnJldi54bWxEj1FLw0AQhN8F/8Oxgm92Y0Vt015LEYQi&#10;FGwsfd7m1lxobi/krk3qr/cKgo/DzHzDzJeDa9SZu1B70fA4ykCxlN7UUmnYfb0/TECFSGKo8cIa&#10;Lhxgubi9mVNufC9bPhexUgkiIScNNsY2RwylZUdh5FuW5H37zlFMsqvQdNQnuGtwnGUv6KiWtGCp&#10;5TfL5bE4OQ0fK3v47AmHE3KBP81+w8fXqdb3d8NqBiryEP/Df+210TB+eobrmXQEc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SMwDEAAAA3AAAAA8AAAAAAAAAAAAAAAAA&#10;nwIAAGRycy9kb3ducmV2LnhtbFBLBQYAAAAABAAEAPcAAACQAwAAAAA=&#10;">
                <v:imagedata r:id="rId3" o:title="" croptop="32748f" cropbottom="22071f" cropleft="11176f" cropright="30660f" gain="39322f" blacklevel="13107f" recolortarget="#5f625d [1447]"/>
                <v:path arrowok="t"/>
              </v:shape>
            </v:group>
          </w:pict>
        </mc:Fallback>
      </mc:AlternateContent>
    </w:r>
    <w:r>
      <w:rPr>
        <w:sz w:val="20"/>
        <w:szCs w:val="20"/>
      </w:rPr>
      <w:tab/>
    </w:r>
    <w:r w:rsidRPr="00234383">
      <w:rPr>
        <w:sz w:val="20"/>
        <w:szCs w:val="20"/>
      </w:rPr>
      <w:fldChar w:fldCharType="begin"/>
    </w:r>
    <w:r w:rsidRPr="00234383">
      <w:rPr>
        <w:sz w:val="20"/>
        <w:szCs w:val="20"/>
      </w:rPr>
      <w:instrText xml:space="preserve"> PAGE  \* MERGEFORMAT </w:instrText>
    </w:r>
    <w:r w:rsidRPr="00234383">
      <w:rPr>
        <w:sz w:val="20"/>
        <w:szCs w:val="20"/>
      </w:rPr>
      <w:fldChar w:fldCharType="separate"/>
    </w:r>
    <w:r w:rsidR="00E8101C">
      <w:rPr>
        <w:noProof/>
        <w:sz w:val="20"/>
        <w:szCs w:val="20"/>
      </w:rPr>
      <w:t>2</w:t>
    </w:r>
    <w:r w:rsidRPr="00234383">
      <w:rPr>
        <w:sz w:val="20"/>
        <w:szCs w:val="20"/>
      </w:rPr>
      <w:fldChar w:fldCharType="end"/>
    </w:r>
    <w:r>
      <w:rPr>
        <w:sz w:val="20"/>
        <w:szCs w:val="20"/>
      </w:rPr>
      <w:tab/>
    </w:r>
    <w:r w:rsidRPr="005E3736">
      <w:rPr>
        <w:color w:val="D7D8D6" w:themeColor="accent4"/>
        <w:sz w:val="20"/>
        <w:szCs w:val="20"/>
      </w:rPr>
      <w:t xml:space="preserve"> </w:t>
    </w:r>
    <w:r>
      <w:rPr>
        <w:color w:val="D7D8D6" w:themeColor="accent4"/>
        <w:sz w:val="20"/>
        <w:szCs w:val="20"/>
      </w:rPr>
      <w:t>PUBLIC</w:t>
    </w:r>
    <w:r w:rsidRPr="005E3736">
      <w:rPr>
        <w:color w:val="D7D8D6" w:themeColor="accent4"/>
      </w:rPr>
      <w:fldChar w:fldCharType="begin"/>
    </w:r>
    <w:r w:rsidRPr="005E3736">
      <w:rPr>
        <w:color w:val="D7D8D6" w:themeColor="accent4"/>
      </w:rPr>
      <w:instrText xml:space="preserve">  \* MERGEFORMAT </w:instrText>
    </w:r>
    <w:r w:rsidRPr="005E3736">
      <w:rPr>
        <w:color w:val="D7D8D6" w:themeColor="accent4"/>
      </w:rPr>
      <w:fldChar w:fldCharType="end"/>
    </w:r>
  </w:p>
  <w:p w:rsidR="00C93263" w:rsidRDefault="00C93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263" w:rsidRDefault="00C93263"/>
  </w:footnote>
  <w:footnote w:type="continuationSeparator" w:id="0">
    <w:p w:rsidR="00C93263" w:rsidRDefault="00C93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787993" w:rsidRDefault="00C93263" w:rsidP="00787993">
    <w:pPr>
      <w:tabs>
        <w:tab w:val="left" w:pos="5040"/>
        <w:tab w:val="right" w:pos="10530"/>
        <w:tab w:val="right" w:pos="14400"/>
      </w:tabs>
      <w:ind w:right="27"/>
      <w:rPr>
        <w:rFonts w:asciiTheme="minorHAnsi" w:hAnsiTheme="minorHAnsi" w:cstheme="minorHAnsi"/>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574CA" w:rsidRDefault="00C93263" w:rsidP="008574CA">
    <w:pPr>
      <w:tabs>
        <w:tab w:val="left" w:pos="5040"/>
        <w:tab w:val="right" w:pos="10530"/>
        <w:tab w:val="right" w:pos="14400"/>
      </w:tabs>
      <w:ind w:right="27"/>
      <w:rPr>
        <w:rFonts w:asciiTheme="minorHAnsi" w:hAnsiTheme="minorHAnsi" w:cstheme="minorHAnsi"/>
        <w:color w:val="000000" w:themeColor="text1"/>
        <w:sz w:val="20"/>
        <w:szCs w:val="20"/>
      </w:rPr>
    </w:pPr>
    <w:r>
      <w:rPr>
        <w:noProof/>
        <w:sz w:val="20"/>
        <w:szCs w:val="20"/>
        <w:lang w:val="en-ZA" w:eastAsia="en-ZA"/>
      </w:rPr>
      <w:drawing>
        <wp:anchor distT="0" distB="0" distL="114300" distR="114300" simplePos="0" relativeHeight="251636222" behindDoc="1" locked="0" layoutInCell="1" allowOverlap="1" wp14:anchorId="3CCB2F71" wp14:editId="3FDB017A">
          <wp:simplePos x="0" y="0"/>
          <wp:positionH relativeFrom="column">
            <wp:posOffset>-621665</wp:posOffset>
          </wp:positionH>
          <wp:positionV relativeFrom="paragraph">
            <wp:posOffset>-460439</wp:posOffset>
          </wp:positionV>
          <wp:extent cx="7640664" cy="10933854"/>
          <wp:effectExtent l="0" t="0" r="0" b="1270"/>
          <wp:wrapNone/>
          <wp:docPr id="5" name="Picture 5" descr="A:\03 Presentations\01 Projects\Template rebrand 2018\Image\HSBC Section Divider images (Nexus)\A4 Portrait\A4-Portrait-Nexus-Section-divider_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3 Presentations\01 Projects\Template rebrand 2018\Image\HSBC Section Divider images (Nexus)\A4 Portrait\A4-Portrait-Nexus-Section-divider_SIL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664" cy="109338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574CA" w:rsidRDefault="00C93263" w:rsidP="008574CA">
    <w:pPr>
      <w:tabs>
        <w:tab w:val="left" w:pos="5040"/>
        <w:tab w:val="right" w:pos="10530"/>
        <w:tab w:val="right" w:pos="14400"/>
      </w:tabs>
      <w:ind w:right="27"/>
      <w:rPr>
        <w:rFonts w:asciiTheme="minorHAnsi" w:hAnsiTheme="minorHAnsi" w:cstheme="minorHAnsi"/>
        <w:color w:val="000000" w:themeColor="text1"/>
        <w:sz w:val="20"/>
        <w:szCs w:val="20"/>
      </w:rPr>
    </w:pPr>
    <w:r w:rsidRPr="00C64498">
      <w:rPr>
        <w:noProof/>
        <w:lang w:val="en-ZA" w:eastAsia="en-ZA"/>
      </w:rPr>
      <w:drawing>
        <wp:anchor distT="0" distB="0" distL="114300" distR="114300" simplePos="0" relativeHeight="251734528" behindDoc="1" locked="0" layoutInCell="1" allowOverlap="1" wp14:anchorId="2BB01EF2" wp14:editId="1EA002EE">
          <wp:simplePos x="0" y="0"/>
          <wp:positionH relativeFrom="column">
            <wp:posOffset>-621665</wp:posOffset>
          </wp:positionH>
          <wp:positionV relativeFrom="paragraph">
            <wp:posOffset>-462459</wp:posOffset>
          </wp:positionV>
          <wp:extent cx="7635240" cy="1075334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t="397" b="5773"/>
                  <a:stretch/>
                </pic:blipFill>
                <pic:spPr bwMode="auto">
                  <a:xfrm>
                    <a:off x="0" y="0"/>
                    <a:ext cx="7635240" cy="10753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63" w:rsidRPr="008574CA" w:rsidRDefault="00C93263" w:rsidP="008574CA">
    <w:pPr>
      <w:tabs>
        <w:tab w:val="left" w:pos="5040"/>
        <w:tab w:val="right" w:pos="10530"/>
        <w:tab w:val="right" w:pos="14400"/>
      </w:tabs>
      <w:ind w:right="27"/>
      <w:rPr>
        <w:rFonts w:asciiTheme="minorHAnsi" w:hAnsiTheme="minorHAnsi" w:cstheme="minorHAnsi"/>
        <w:color w:val="000000" w:themeColor="text1"/>
        <w:sz w:val="20"/>
        <w:szCs w:val="20"/>
      </w:rPr>
    </w:pPr>
  </w:p>
  <w:p w:rsidR="00C93263" w:rsidRDefault="00C932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7A80"/>
    <w:multiLevelType w:val="hybridMultilevel"/>
    <w:tmpl w:val="B2CA75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247196"/>
    <w:multiLevelType w:val="multilevel"/>
    <w:tmpl w:val="F0F0E3A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9BE68C2"/>
    <w:multiLevelType w:val="hybridMultilevel"/>
    <w:tmpl w:val="36D0292A"/>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E80E56"/>
    <w:multiLevelType w:val="hybridMultilevel"/>
    <w:tmpl w:val="6A3E6628"/>
    <w:lvl w:ilvl="0" w:tplc="1BB2BD2E">
      <w:start w:val="1"/>
      <w:numFmt w:val="bullet"/>
      <w:pStyle w:val="BulletFour"/>
      <w:lvlText w:val="–"/>
      <w:lvlJc w:val="left"/>
      <w:pPr>
        <w:ind w:left="1584" w:hanging="360"/>
      </w:pPr>
      <w:rPr>
        <w:rFonts w:ascii="Helvetica Neue for HSBC Lt" w:hAnsi="Helvetica Neue for HSBC Lt" w:hint="default"/>
        <w:color w:val="DB0011"/>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E9F2E2C"/>
    <w:multiLevelType w:val="hybridMultilevel"/>
    <w:tmpl w:val="32A8C4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876243"/>
    <w:multiLevelType w:val="hybridMultilevel"/>
    <w:tmpl w:val="D3E44C08"/>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7AC4D9B"/>
    <w:multiLevelType w:val="hybridMultilevel"/>
    <w:tmpl w:val="34F4E41E"/>
    <w:lvl w:ilvl="0" w:tplc="C35638D8">
      <w:start w:val="1"/>
      <w:numFmt w:val="bullet"/>
      <w:pStyle w:val="BulletTwo"/>
      <w:lvlText w:val=""/>
      <w:lvlJc w:val="left"/>
      <w:pPr>
        <w:ind w:left="644" w:hanging="360"/>
      </w:pPr>
      <w:rPr>
        <w:rFonts w:ascii="Wingdings 2" w:hAnsi="Wingdings 2" w:hint="default"/>
        <w:color w:val="DB001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E766C"/>
    <w:multiLevelType w:val="hybridMultilevel"/>
    <w:tmpl w:val="359ACAC6"/>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2575E59"/>
    <w:multiLevelType w:val="multilevel"/>
    <w:tmpl w:val="EEE8D61C"/>
    <w:lvl w:ilvl="0">
      <w:start w:val="1"/>
      <w:numFmt w:val="decimal"/>
      <w:pStyle w:val="REBL1"/>
      <w:lvlText w:val="%1."/>
      <w:lvlJc w:val="left"/>
      <w:pPr>
        <w:tabs>
          <w:tab w:val="num" w:pos="720"/>
        </w:tabs>
        <w:ind w:left="0" w:firstLine="0"/>
      </w:pPr>
      <w:rPr>
        <w:rFonts w:ascii="Times New Roman" w:hAnsi="Times New Roman" w:cs="Times New Roman" w:hint="default"/>
        <w:b/>
        <w:i w:val="0"/>
        <w:caps w:val="0"/>
        <w:color w:val="auto"/>
        <w:sz w:val="22"/>
        <w:u w:val="none"/>
      </w:rPr>
    </w:lvl>
    <w:lvl w:ilvl="1">
      <w:start w:val="1"/>
      <w:numFmt w:val="decimal"/>
      <w:pStyle w:val="REBL2"/>
      <w:lvlText w:val="%1.%2"/>
      <w:lvlJc w:val="left"/>
      <w:pPr>
        <w:tabs>
          <w:tab w:val="num" w:pos="1900"/>
        </w:tabs>
        <w:ind w:left="1900" w:hanging="1474"/>
      </w:pPr>
      <w:rPr>
        <w:rFonts w:ascii="Times New Roman" w:hAnsi="Times New Roman" w:cs="Times New Roman" w:hint="default"/>
        <w:b/>
        <w:i w:val="0"/>
        <w:caps w:val="0"/>
        <w:color w:val="auto"/>
        <w:sz w:val="22"/>
        <w:u w:val="none"/>
      </w:rPr>
    </w:lvl>
    <w:lvl w:ilvl="2">
      <w:start w:val="1"/>
      <w:numFmt w:val="decimal"/>
      <w:pStyle w:val="REBL3"/>
      <w:lvlText w:val="%1.%2.%3"/>
      <w:lvlJc w:val="left"/>
      <w:pPr>
        <w:tabs>
          <w:tab w:val="num" w:pos="10122"/>
        </w:tabs>
        <w:ind w:left="1474" w:hanging="1474"/>
      </w:pPr>
      <w:rPr>
        <w:rFonts w:ascii="Times New Roman" w:hAnsi="Times New Roman" w:cs="Times New Roman" w:hint="default"/>
        <w:b/>
        <w:i w:val="0"/>
        <w:caps w:val="0"/>
        <w:color w:val="auto"/>
        <w:sz w:val="22"/>
        <w:u w:val="none"/>
      </w:rPr>
    </w:lvl>
    <w:lvl w:ilvl="3">
      <w:start w:val="1"/>
      <w:numFmt w:val="decimal"/>
      <w:pStyle w:val="REBL4"/>
      <w:lvlText w:val="%1.%2.%3.%4"/>
      <w:lvlJc w:val="left"/>
      <w:pPr>
        <w:tabs>
          <w:tab w:val="num" w:pos="5160"/>
        </w:tabs>
        <w:ind w:left="5160" w:hanging="1474"/>
      </w:pPr>
      <w:rPr>
        <w:rFonts w:ascii="Times New Roman" w:hAnsi="Times New Roman" w:cs="Times New Roman" w:hint="default"/>
        <w:b/>
        <w:i w:val="0"/>
        <w:caps w:val="0"/>
        <w:color w:val="auto"/>
        <w:sz w:val="22"/>
        <w:u w:val="none"/>
      </w:rPr>
    </w:lvl>
    <w:lvl w:ilvl="4">
      <w:start w:val="1"/>
      <w:numFmt w:val="decimal"/>
      <w:pStyle w:val="REBL5"/>
      <w:lvlText w:val="%1.%2.%3.%4.%5"/>
      <w:lvlJc w:val="left"/>
      <w:pPr>
        <w:tabs>
          <w:tab w:val="num" w:pos="1474"/>
        </w:tabs>
        <w:ind w:left="1474" w:hanging="1474"/>
      </w:pPr>
      <w:rPr>
        <w:rFonts w:ascii="Times New Roman Bold" w:hAnsi="Times New Roman Bold" w:cs="Times New Roman" w:hint="default"/>
        <w:b/>
        <w:i w:val="0"/>
        <w:caps w:val="0"/>
        <w:color w:val="auto"/>
        <w:sz w:val="22"/>
        <w:u w:val="none"/>
      </w:rPr>
    </w:lvl>
    <w:lvl w:ilvl="5">
      <w:start w:val="1"/>
      <w:numFmt w:val="upperLetter"/>
      <w:pStyle w:val="REBL6"/>
      <w:lvlText w:val="(%6)"/>
      <w:lvlJc w:val="left"/>
      <w:pPr>
        <w:tabs>
          <w:tab w:val="num" w:pos="2160"/>
        </w:tabs>
        <w:ind w:left="2160" w:hanging="720"/>
      </w:pPr>
      <w:rPr>
        <w:rFonts w:ascii="Times New Roman" w:hAnsi="Times New Roman" w:cs="Times New Roman" w:hint="default"/>
        <w:b w:val="0"/>
        <w:i w:val="0"/>
        <w:caps w:val="0"/>
        <w:color w:val="auto"/>
        <w:sz w:val="22"/>
        <w:u w:val="none"/>
      </w:rPr>
    </w:lvl>
    <w:lvl w:ilvl="6">
      <w:start w:val="1"/>
      <w:numFmt w:val="upperRoman"/>
      <w:pStyle w:val="REBL7"/>
      <w:lvlText w:val="(%7)"/>
      <w:lvlJc w:val="right"/>
      <w:pPr>
        <w:tabs>
          <w:tab w:val="num" w:pos="2880"/>
        </w:tabs>
        <w:ind w:left="2880" w:hanging="216"/>
      </w:pPr>
      <w:rPr>
        <w:rFonts w:ascii="Times New Roman" w:hAnsi="Times New Roman" w:cs="Times New Roman" w:hint="default"/>
        <w:b w:val="0"/>
        <w:i w:val="0"/>
        <w:caps w:val="0"/>
        <w:color w:val="auto"/>
        <w:sz w:val="22"/>
        <w:u w:val="none"/>
      </w:rPr>
    </w:lvl>
    <w:lvl w:ilvl="7">
      <w:start w:val="27"/>
      <w:numFmt w:val="lowerLetter"/>
      <w:pStyle w:val="REBL8"/>
      <w:lvlText w:val="(%8)"/>
      <w:lvlJc w:val="left"/>
      <w:pPr>
        <w:tabs>
          <w:tab w:val="num" w:pos="3600"/>
        </w:tabs>
        <w:ind w:left="3600" w:hanging="720"/>
      </w:pPr>
      <w:rPr>
        <w:rFonts w:ascii="Times New Roman" w:hAnsi="Times New Roman" w:cs="Times New Roman" w:hint="default"/>
        <w:b w:val="0"/>
        <w:i w:val="0"/>
        <w:caps w:val="0"/>
        <w:color w:val="auto"/>
        <w:sz w:val="22"/>
        <w:u w:val="none"/>
      </w:rPr>
    </w:lvl>
    <w:lvl w:ilvl="8">
      <w:start w:val="1"/>
      <w:numFmt w:val="decimal"/>
      <w:pStyle w:val="REBL9"/>
      <w:lvlText w:val="(%9)"/>
      <w:lvlJc w:val="left"/>
      <w:pPr>
        <w:tabs>
          <w:tab w:val="num" w:pos="4320"/>
        </w:tabs>
        <w:ind w:left="4320" w:hanging="720"/>
      </w:pPr>
      <w:rPr>
        <w:rFonts w:ascii="Times New Roman" w:hAnsi="Times New Roman" w:cs="Times New Roman" w:hint="default"/>
        <w:b w:val="0"/>
        <w:i w:val="0"/>
        <w:caps w:val="0"/>
        <w:color w:val="auto"/>
        <w:sz w:val="22"/>
        <w:u w:val="none"/>
      </w:rPr>
    </w:lvl>
  </w:abstractNum>
  <w:abstractNum w:abstractNumId="9" w15:restartNumberingAfterBreak="0">
    <w:nsid w:val="33421886"/>
    <w:multiLevelType w:val="hybridMultilevel"/>
    <w:tmpl w:val="F692E02A"/>
    <w:lvl w:ilvl="0" w:tplc="7C38D09C">
      <w:start w:val="1"/>
      <w:numFmt w:val="bullet"/>
      <w:pStyle w:val="BulletThree"/>
      <w:lvlText w:val=""/>
      <w:lvlJc w:val="left"/>
      <w:pPr>
        <w:ind w:left="1287" w:hanging="360"/>
      </w:pPr>
      <w:rPr>
        <w:rFonts w:ascii="Symbol" w:hAnsi="Symbol" w:hint="default"/>
        <w:color w:val="DB001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7904A5E"/>
    <w:multiLevelType w:val="multilevel"/>
    <w:tmpl w:val="FA7A9C8A"/>
    <w:lvl w:ilvl="0">
      <w:start w:val="1"/>
      <w:numFmt w:val="bullet"/>
      <w:pStyle w:val="Bullettext"/>
      <w:lvlText w:val=""/>
      <w:lvlJc w:val="left"/>
      <w:pPr>
        <w:tabs>
          <w:tab w:val="num" w:pos="1440"/>
        </w:tabs>
        <w:ind w:left="1440" w:hanging="360"/>
      </w:pPr>
      <w:rPr>
        <w:rFonts w:ascii="Symbol" w:eastAsia="MS Mincho" w:hAnsi="Symbol" w:cs="Arial" w:hint="default"/>
        <w:b/>
        <w:bCs/>
        <w:color w:val="FF0000"/>
      </w:rPr>
    </w:lvl>
    <w:lvl w:ilvl="1">
      <w:start w:val="1"/>
      <w:numFmt w:val="bullet"/>
      <w:pStyle w:val="2ndlevelbullettext"/>
      <w:lvlText w:val="–"/>
      <w:lvlJc w:val="left"/>
      <w:pPr>
        <w:tabs>
          <w:tab w:val="num" w:pos="1440"/>
        </w:tabs>
        <w:ind w:left="1440" w:hanging="360"/>
      </w:pPr>
      <w:rPr>
        <w:rFonts w:ascii="Arial" w:hAnsi="Arial" w:cs="Courier New" w:hint="default"/>
        <w:b w:val="0"/>
        <w:i w:val="0"/>
        <w:color w:val="FF000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047D3C"/>
    <w:multiLevelType w:val="hybridMultilevel"/>
    <w:tmpl w:val="732CC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C40789B"/>
    <w:multiLevelType w:val="hybridMultilevel"/>
    <w:tmpl w:val="15048F2C"/>
    <w:lvl w:ilvl="0" w:tplc="70D6502C">
      <w:start w:val="1"/>
      <w:numFmt w:val="bullet"/>
      <w:pStyle w:val="BulletOne"/>
      <w:lvlText w:val=""/>
      <w:lvlJc w:val="left"/>
      <w:pPr>
        <w:ind w:left="360" w:hanging="360"/>
      </w:pPr>
      <w:rPr>
        <w:rFonts w:ascii="Wingdings 2" w:hAnsi="Wingdings 2" w:hint="default"/>
        <w:color w:val="DB001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9576B5"/>
    <w:multiLevelType w:val="hybridMultilevel"/>
    <w:tmpl w:val="A4107476"/>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9AE2C6C"/>
    <w:multiLevelType w:val="hybridMultilevel"/>
    <w:tmpl w:val="93BE43AE"/>
    <w:lvl w:ilvl="0" w:tplc="5204E598">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60AC6016"/>
    <w:multiLevelType w:val="hybridMultilevel"/>
    <w:tmpl w:val="D12AC2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2DD15C0"/>
    <w:multiLevelType w:val="hybridMultilevel"/>
    <w:tmpl w:val="53F415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39F1C23"/>
    <w:multiLevelType w:val="hybridMultilevel"/>
    <w:tmpl w:val="59BAAD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CFE2648"/>
    <w:multiLevelType w:val="hybridMultilevel"/>
    <w:tmpl w:val="9C363F9E"/>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D5B00DD"/>
    <w:multiLevelType w:val="multilevel"/>
    <w:tmpl w:val="3FA2730A"/>
    <w:lvl w:ilvl="0">
      <w:start w:val="1"/>
      <w:numFmt w:val="decimal"/>
      <w:pStyle w:val="NumberOne"/>
      <w:lvlText w:val="%1."/>
      <w:lvlJc w:val="left"/>
      <w:pPr>
        <w:ind w:left="360" w:hanging="360"/>
      </w:pPr>
      <w:rPr>
        <w:rFonts w:hint="default"/>
        <w:color w:val="auto"/>
      </w:rPr>
    </w:lvl>
    <w:lvl w:ilvl="1">
      <w:start w:val="1"/>
      <w:numFmt w:val="decimal"/>
      <w:pStyle w:val="NumberTwo"/>
      <w:lvlText w:val="%1.%2."/>
      <w:lvlJc w:val="left"/>
      <w:pPr>
        <w:ind w:left="662" w:hanging="374"/>
      </w:pPr>
      <w:rPr>
        <w:rFonts w:hint="default"/>
        <w:color w:val="auto"/>
      </w:rPr>
    </w:lvl>
    <w:lvl w:ilvl="2">
      <w:start w:val="1"/>
      <w:numFmt w:val="decimal"/>
      <w:pStyle w:val="NumberThree"/>
      <w:lvlText w:val="%1.%2.%3."/>
      <w:lvlJc w:val="left"/>
      <w:pPr>
        <w:ind w:left="1123" w:hanging="446"/>
      </w:pPr>
      <w:rPr>
        <w:rFonts w:hint="default"/>
        <w:color w:val="auto"/>
      </w:rPr>
    </w:lvl>
    <w:lvl w:ilvl="3">
      <w:start w:val="1"/>
      <w:numFmt w:val="decimal"/>
      <w:pStyle w:val="NumberFour"/>
      <w:lvlText w:val="%1.%2.%3.%4."/>
      <w:lvlJc w:val="left"/>
      <w:pPr>
        <w:ind w:left="1656" w:hanging="518"/>
      </w:pPr>
      <w:rPr>
        <w:rFonts w:hint="default"/>
        <w:color w:val="auto"/>
      </w:rPr>
    </w:lvl>
    <w:lvl w:ilvl="4">
      <w:start w:val="1"/>
      <w:numFmt w:val="decimal"/>
      <w:pStyle w:val="NumberFive"/>
      <w:lvlText w:val="%1.%2.%3.%4.%5."/>
      <w:lvlJc w:val="left"/>
      <w:pPr>
        <w:ind w:left="2246" w:hanging="59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6D342E4"/>
    <w:multiLevelType w:val="hybridMultilevel"/>
    <w:tmpl w:val="F3EC45E8"/>
    <w:lvl w:ilvl="0" w:tplc="5204E598">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D1B3E5D"/>
    <w:multiLevelType w:val="hybridMultilevel"/>
    <w:tmpl w:val="707A84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EC81102"/>
    <w:multiLevelType w:val="hybridMultilevel"/>
    <w:tmpl w:val="65748A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9"/>
  </w:num>
  <w:num w:numId="4">
    <w:abstractNumId w:val="12"/>
  </w:num>
  <w:num w:numId="5">
    <w:abstractNumId w:val="6"/>
  </w:num>
  <w:num w:numId="6">
    <w:abstractNumId w:val="9"/>
  </w:num>
  <w:num w:numId="7">
    <w:abstractNumId w:val="3"/>
  </w:num>
  <w:num w:numId="8">
    <w:abstractNumId w:val="0"/>
  </w:num>
  <w:num w:numId="9">
    <w:abstractNumId w:val="14"/>
  </w:num>
  <w:num w:numId="10">
    <w:abstractNumId w:val="8"/>
  </w:num>
  <w:num w:numId="11">
    <w:abstractNumId w:val="20"/>
  </w:num>
  <w:num w:numId="12">
    <w:abstractNumId w:val="17"/>
  </w:num>
  <w:num w:numId="13">
    <w:abstractNumId w:val="11"/>
  </w:num>
  <w:num w:numId="14">
    <w:abstractNumId w:val="7"/>
  </w:num>
  <w:num w:numId="15">
    <w:abstractNumId w:val="2"/>
  </w:num>
  <w:num w:numId="16">
    <w:abstractNumId w:val="15"/>
  </w:num>
  <w:num w:numId="17">
    <w:abstractNumId w:val="4"/>
  </w:num>
  <w:num w:numId="18">
    <w:abstractNumId w:val="22"/>
  </w:num>
  <w:num w:numId="19">
    <w:abstractNumId w:val="21"/>
  </w:num>
  <w:num w:numId="20">
    <w:abstractNumId w:val="16"/>
  </w:num>
  <w:num w:numId="21">
    <w:abstractNumId w:val="5"/>
  </w:num>
  <w:num w:numId="22">
    <w:abstractNumId w:val="18"/>
  </w:num>
  <w:num w:numId="2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isplayBackgroundShape/>
  <w:embedSystemFonts/>
  <w:hideSpellingErrors/>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425"/>
  <w:characterSpacingControl w:val="doNotCompress"/>
  <w:hdrShapeDefaults>
    <o:shapedefaults v:ext="edit" spidmax="112641">
      <o:colormru v:ext="edit" colors="#eaeaea,#bebebe"/>
      <o:colormenu v:ext="edit" fillcolor="none [241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A0"/>
    <w:rsid w:val="00005242"/>
    <w:rsid w:val="00005D78"/>
    <w:rsid w:val="00007652"/>
    <w:rsid w:val="0001398E"/>
    <w:rsid w:val="000156C8"/>
    <w:rsid w:val="000221B0"/>
    <w:rsid w:val="000266A5"/>
    <w:rsid w:val="00026C4C"/>
    <w:rsid w:val="000350A2"/>
    <w:rsid w:val="000379FB"/>
    <w:rsid w:val="00041B7C"/>
    <w:rsid w:val="0004324E"/>
    <w:rsid w:val="00045D09"/>
    <w:rsid w:val="00046EFA"/>
    <w:rsid w:val="0005346D"/>
    <w:rsid w:val="000547EE"/>
    <w:rsid w:val="00054F81"/>
    <w:rsid w:val="00055308"/>
    <w:rsid w:val="000564E5"/>
    <w:rsid w:val="00057EA6"/>
    <w:rsid w:val="00060D79"/>
    <w:rsid w:val="00063B65"/>
    <w:rsid w:val="00064315"/>
    <w:rsid w:val="0007400D"/>
    <w:rsid w:val="00074051"/>
    <w:rsid w:val="00082F08"/>
    <w:rsid w:val="00085B0C"/>
    <w:rsid w:val="000906B4"/>
    <w:rsid w:val="00091A92"/>
    <w:rsid w:val="00093BCC"/>
    <w:rsid w:val="00094EC5"/>
    <w:rsid w:val="000968C7"/>
    <w:rsid w:val="00096A89"/>
    <w:rsid w:val="000A5E0D"/>
    <w:rsid w:val="000B0819"/>
    <w:rsid w:val="000B15BE"/>
    <w:rsid w:val="000B193C"/>
    <w:rsid w:val="000C52C3"/>
    <w:rsid w:val="000C6C17"/>
    <w:rsid w:val="000D6A57"/>
    <w:rsid w:val="000E1C67"/>
    <w:rsid w:val="000E6258"/>
    <w:rsid w:val="000F2CCB"/>
    <w:rsid w:val="000F5195"/>
    <w:rsid w:val="000F5DA4"/>
    <w:rsid w:val="001051DE"/>
    <w:rsid w:val="001111CE"/>
    <w:rsid w:val="001129F2"/>
    <w:rsid w:val="00113A0A"/>
    <w:rsid w:val="001174B8"/>
    <w:rsid w:val="0012170F"/>
    <w:rsid w:val="00124B68"/>
    <w:rsid w:val="00126B6D"/>
    <w:rsid w:val="00132A18"/>
    <w:rsid w:val="00143334"/>
    <w:rsid w:val="0014393D"/>
    <w:rsid w:val="00145EC6"/>
    <w:rsid w:val="0014747B"/>
    <w:rsid w:val="001516A0"/>
    <w:rsid w:val="00152E86"/>
    <w:rsid w:val="001559BF"/>
    <w:rsid w:val="00155EA2"/>
    <w:rsid w:val="001604A6"/>
    <w:rsid w:val="001709E8"/>
    <w:rsid w:val="00171A34"/>
    <w:rsid w:val="001730FB"/>
    <w:rsid w:val="001733F4"/>
    <w:rsid w:val="0018500C"/>
    <w:rsid w:val="001864A2"/>
    <w:rsid w:val="001901D4"/>
    <w:rsid w:val="001903E1"/>
    <w:rsid w:val="00192380"/>
    <w:rsid w:val="00195A40"/>
    <w:rsid w:val="00196097"/>
    <w:rsid w:val="001A3FAD"/>
    <w:rsid w:val="001B442A"/>
    <w:rsid w:val="001C2511"/>
    <w:rsid w:val="001C3C75"/>
    <w:rsid w:val="001C7CB4"/>
    <w:rsid w:val="001D2719"/>
    <w:rsid w:val="001D4CC6"/>
    <w:rsid w:val="001D7911"/>
    <w:rsid w:val="001D7BFF"/>
    <w:rsid w:val="001E042F"/>
    <w:rsid w:val="001E4590"/>
    <w:rsid w:val="001F069B"/>
    <w:rsid w:val="001F2D41"/>
    <w:rsid w:val="0020506C"/>
    <w:rsid w:val="00211131"/>
    <w:rsid w:val="002116E2"/>
    <w:rsid w:val="0021354B"/>
    <w:rsid w:val="00215232"/>
    <w:rsid w:val="00216774"/>
    <w:rsid w:val="00226706"/>
    <w:rsid w:val="0022751A"/>
    <w:rsid w:val="00227B79"/>
    <w:rsid w:val="002330C3"/>
    <w:rsid w:val="00233193"/>
    <w:rsid w:val="00233BA0"/>
    <w:rsid w:val="00234236"/>
    <w:rsid w:val="00237405"/>
    <w:rsid w:val="0024086C"/>
    <w:rsid w:val="00240E3B"/>
    <w:rsid w:val="00243CD2"/>
    <w:rsid w:val="002513B7"/>
    <w:rsid w:val="00251E3E"/>
    <w:rsid w:val="00253B4C"/>
    <w:rsid w:val="00254DD3"/>
    <w:rsid w:val="00255E21"/>
    <w:rsid w:val="00267A76"/>
    <w:rsid w:val="00274B9A"/>
    <w:rsid w:val="00290FF1"/>
    <w:rsid w:val="00292B22"/>
    <w:rsid w:val="00293779"/>
    <w:rsid w:val="00293E3D"/>
    <w:rsid w:val="00294B74"/>
    <w:rsid w:val="00296A29"/>
    <w:rsid w:val="00296D97"/>
    <w:rsid w:val="002A13D8"/>
    <w:rsid w:val="002A1A45"/>
    <w:rsid w:val="002B6D4D"/>
    <w:rsid w:val="002C2ABC"/>
    <w:rsid w:val="002C6413"/>
    <w:rsid w:val="002C75F1"/>
    <w:rsid w:val="002C7D6C"/>
    <w:rsid w:val="002D2E5E"/>
    <w:rsid w:val="002E1AE6"/>
    <w:rsid w:val="002E5019"/>
    <w:rsid w:val="002F62F8"/>
    <w:rsid w:val="002F69B8"/>
    <w:rsid w:val="003052D2"/>
    <w:rsid w:val="00306A3F"/>
    <w:rsid w:val="00324FEF"/>
    <w:rsid w:val="00326EF1"/>
    <w:rsid w:val="0033093D"/>
    <w:rsid w:val="00332C18"/>
    <w:rsid w:val="00335434"/>
    <w:rsid w:val="00336DBD"/>
    <w:rsid w:val="00337BA6"/>
    <w:rsid w:val="00342AA6"/>
    <w:rsid w:val="003431FE"/>
    <w:rsid w:val="00345A34"/>
    <w:rsid w:val="003513F2"/>
    <w:rsid w:val="00351641"/>
    <w:rsid w:val="003534AD"/>
    <w:rsid w:val="0035531E"/>
    <w:rsid w:val="0035561D"/>
    <w:rsid w:val="00356085"/>
    <w:rsid w:val="00360227"/>
    <w:rsid w:val="003671C8"/>
    <w:rsid w:val="00367E7B"/>
    <w:rsid w:val="00371EF7"/>
    <w:rsid w:val="0037428B"/>
    <w:rsid w:val="003757DF"/>
    <w:rsid w:val="00381BA5"/>
    <w:rsid w:val="003831D0"/>
    <w:rsid w:val="00384636"/>
    <w:rsid w:val="00384CD6"/>
    <w:rsid w:val="003855F1"/>
    <w:rsid w:val="003864D5"/>
    <w:rsid w:val="00386C17"/>
    <w:rsid w:val="00392E40"/>
    <w:rsid w:val="003946B9"/>
    <w:rsid w:val="00395A12"/>
    <w:rsid w:val="003963CF"/>
    <w:rsid w:val="003A155D"/>
    <w:rsid w:val="003A5331"/>
    <w:rsid w:val="003A559F"/>
    <w:rsid w:val="003A66B8"/>
    <w:rsid w:val="003B2DE0"/>
    <w:rsid w:val="003B398D"/>
    <w:rsid w:val="003B71F7"/>
    <w:rsid w:val="003D3748"/>
    <w:rsid w:val="003D6290"/>
    <w:rsid w:val="003D644A"/>
    <w:rsid w:val="003E1A48"/>
    <w:rsid w:val="003E73B1"/>
    <w:rsid w:val="003F18E6"/>
    <w:rsid w:val="003F3E88"/>
    <w:rsid w:val="003F59EE"/>
    <w:rsid w:val="003F7DBF"/>
    <w:rsid w:val="00400DBB"/>
    <w:rsid w:val="00414A8E"/>
    <w:rsid w:val="00427C44"/>
    <w:rsid w:val="00431917"/>
    <w:rsid w:val="004328DA"/>
    <w:rsid w:val="004335A0"/>
    <w:rsid w:val="00435489"/>
    <w:rsid w:val="00443255"/>
    <w:rsid w:val="00443D0F"/>
    <w:rsid w:val="004454CB"/>
    <w:rsid w:val="00447BA5"/>
    <w:rsid w:val="00452C1C"/>
    <w:rsid w:val="004556BB"/>
    <w:rsid w:val="00482EAC"/>
    <w:rsid w:val="0048513D"/>
    <w:rsid w:val="00496248"/>
    <w:rsid w:val="00497E35"/>
    <w:rsid w:val="004A1A85"/>
    <w:rsid w:val="004A6FCC"/>
    <w:rsid w:val="004B0D4C"/>
    <w:rsid w:val="004B2BC9"/>
    <w:rsid w:val="004B6EA4"/>
    <w:rsid w:val="004C3C0E"/>
    <w:rsid w:val="004C5F34"/>
    <w:rsid w:val="004C75A7"/>
    <w:rsid w:val="004C7FA2"/>
    <w:rsid w:val="004C7FCA"/>
    <w:rsid w:val="004D1E4C"/>
    <w:rsid w:val="004D3983"/>
    <w:rsid w:val="004D5676"/>
    <w:rsid w:val="004D5AC5"/>
    <w:rsid w:val="004D732C"/>
    <w:rsid w:val="004D78A2"/>
    <w:rsid w:val="004E0477"/>
    <w:rsid w:val="004E5D30"/>
    <w:rsid w:val="004F03D8"/>
    <w:rsid w:val="00504893"/>
    <w:rsid w:val="0051234D"/>
    <w:rsid w:val="00512C54"/>
    <w:rsid w:val="00523355"/>
    <w:rsid w:val="0052397A"/>
    <w:rsid w:val="0052401A"/>
    <w:rsid w:val="00525A0B"/>
    <w:rsid w:val="0053104C"/>
    <w:rsid w:val="005312CD"/>
    <w:rsid w:val="00533420"/>
    <w:rsid w:val="00534FEA"/>
    <w:rsid w:val="00541B89"/>
    <w:rsid w:val="00545F60"/>
    <w:rsid w:val="005463BE"/>
    <w:rsid w:val="0056049C"/>
    <w:rsid w:val="0056487D"/>
    <w:rsid w:val="005724F5"/>
    <w:rsid w:val="00577B95"/>
    <w:rsid w:val="00580083"/>
    <w:rsid w:val="00580895"/>
    <w:rsid w:val="00580AC1"/>
    <w:rsid w:val="005822B1"/>
    <w:rsid w:val="00593D8A"/>
    <w:rsid w:val="00594E04"/>
    <w:rsid w:val="00594E27"/>
    <w:rsid w:val="005A61E1"/>
    <w:rsid w:val="005A7868"/>
    <w:rsid w:val="005B032C"/>
    <w:rsid w:val="005C27AE"/>
    <w:rsid w:val="005C744B"/>
    <w:rsid w:val="005C76DB"/>
    <w:rsid w:val="005D2258"/>
    <w:rsid w:val="005D483C"/>
    <w:rsid w:val="005D6700"/>
    <w:rsid w:val="005E03CF"/>
    <w:rsid w:val="005E5197"/>
    <w:rsid w:val="005E57E2"/>
    <w:rsid w:val="005E6A88"/>
    <w:rsid w:val="005F004B"/>
    <w:rsid w:val="005F0F36"/>
    <w:rsid w:val="005F3FC5"/>
    <w:rsid w:val="005F7138"/>
    <w:rsid w:val="006013A3"/>
    <w:rsid w:val="006042E7"/>
    <w:rsid w:val="00605E73"/>
    <w:rsid w:val="00607482"/>
    <w:rsid w:val="00610027"/>
    <w:rsid w:val="00610E67"/>
    <w:rsid w:val="006140FA"/>
    <w:rsid w:val="0061622D"/>
    <w:rsid w:val="0061729B"/>
    <w:rsid w:val="006176B3"/>
    <w:rsid w:val="006209EB"/>
    <w:rsid w:val="0062699F"/>
    <w:rsid w:val="00627B0B"/>
    <w:rsid w:val="006402AF"/>
    <w:rsid w:val="00645441"/>
    <w:rsid w:val="00645FE6"/>
    <w:rsid w:val="00650483"/>
    <w:rsid w:val="0065083A"/>
    <w:rsid w:val="0065154F"/>
    <w:rsid w:val="00656784"/>
    <w:rsid w:val="00657B48"/>
    <w:rsid w:val="0066300B"/>
    <w:rsid w:val="00663C6A"/>
    <w:rsid w:val="006703D9"/>
    <w:rsid w:val="00675C06"/>
    <w:rsid w:val="00676CAA"/>
    <w:rsid w:val="00676FBE"/>
    <w:rsid w:val="006849B7"/>
    <w:rsid w:val="00684B14"/>
    <w:rsid w:val="006911B9"/>
    <w:rsid w:val="006947D0"/>
    <w:rsid w:val="006959CE"/>
    <w:rsid w:val="006A388A"/>
    <w:rsid w:val="006B1267"/>
    <w:rsid w:val="006B4721"/>
    <w:rsid w:val="006B49DA"/>
    <w:rsid w:val="006B6AF6"/>
    <w:rsid w:val="006B7E58"/>
    <w:rsid w:val="006C1BB5"/>
    <w:rsid w:val="006C741C"/>
    <w:rsid w:val="006D133E"/>
    <w:rsid w:val="006D27C3"/>
    <w:rsid w:val="006D4C46"/>
    <w:rsid w:val="006D4E91"/>
    <w:rsid w:val="006D6CEA"/>
    <w:rsid w:val="006E40CA"/>
    <w:rsid w:val="006F0D9A"/>
    <w:rsid w:val="006F37A1"/>
    <w:rsid w:val="006F3EFE"/>
    <w:rsid w:val="0070233B"/>
    <w:rsid w:val="00703868"/>
    <w:rsid w:val="007048AE"/>
    <w:rsid w:val="0071157F"/>
    <w:rsid w:val="00714627"/>
    <w:rsid w:val="00714DC4"/>
    <w:rsid w:val="007150B6"/>
    <w:rsid w:val="00717122"/>
    <w:rsid w:val="00722669"/>
    <w:rsid w:val="00722EC4"/>
    <w:rsid w:val="0072585B"/>
    <w:rsid w:val="007270B1"/>
    <w:rsid w:val="007338FE"/>
    <w:rsid w:val="00734B1D"/>
    <w:rsid w:val="00734B52"/>
    <w:rsid w:val="00736ACB"/>
    <w:rsid w:val="007376F2"/>
    <w:rsid w:val="00744388"/>
    <w:rsid w:val="007470FF"/>
    <w:rsid w:val="00747618"/>
    <w:rsid w:val="00747DAB"/>
    <w:rsid w:val="00751E17"/>
    <w:rsid w:val="00755ECE"/>
    <w:rsid w:val="00757C0C"/>
    <w:rsid w:val="00771AD0"/>
    <w:rsid w:val="00772D83"/>
    <w:rsid w:val="00776C72"/>
    <w:rsid w:val="007814F3"/>
    <w:rsid w:val="0078169C"/>
    <w:rsid w:val="00786CDA"/>
    <w:rsid w:val="00787993"/>
    <w:rsid w:val="0079418F"/>
    <w:rsid w:val="007943B2"/>
    <w:rsid w:val="00794613"/>
    <w:rsid w:val="0079760E"/>
    <w:rsid w:val="007A37E7"/>
    <w:rsid w:val="007A4371"/>
    <w:rsid w:val="007A77E3"/>
    <w:rsid w:val="007B15E7"/>
    <w:rsid w:val="007C609E"/>
    <w:rsid w:val="007C631F"/>
    <w:rsid w:val="007D07A4"/>
    <w:rsid w:val="007D40C4"/>
    <w:rsid w:val="007D4125"/>
    <w:rsid w:val="007D533F"/>
    <w:rsid w:val="007E1493"/>
    <w:rsid w:val="007E6925"/>
    <w:rsid w:val="007E697F"/>
    <w:rsid w:val="007F7C7B"/>
    <w:rsid w:val="00804DE8"/>
    <w:rsid w:val="00805D43"/>
    <w:rsid w:val="00811627"/>
    <w:rsid w:val="008116AB"/>
    <w:rsid w:val="00811C3D"/>
    <w:rsid w:val="008150AB"/>
    <w:rsid w:val="00817534"/>
    <w:rsid w:val="008222F5"/>
    <w:rsid w:val="00822E14"/>
    <w:rsid w:val="008272F7"/>
    <w:rsid w:val="00835101"/>
    <w:rsid w:val="00836E22"/>
    <w:rsid w:val="008407B1"/>
    <w:rsid w:val="008451CF"/>
    <w:rsid w:val="00845CAF"/>
    <w:rsid w:val="00846A07"/>
    <w:rsid w:val="008574CA"/>
    <w:rsid w:val="008613CE"/>
    <w:rsid w:val="008629F5"/>
    <w:rsid w:val="008634AA"/>
    <w:rsid w:val="008722B2"/>
    <w:rsid w:val="00876643"/>
    <w:rsid w:val="00877C6A"/>
    <w:rsid w:val="00887071"/>
    <w:rsid w:val="00893B4A"/>
    <w:rsid w:val="0089799F"/>
    <w:rsid w:val="008A532D"/>
    <w:rsid w:val="008B011A"/>
    <w:rsid w:val="008B3FD6"/>
    <w:rsid w:val="008B7C85"/>
    <w:rsid w:val="008C0DAA"/>
    <w:rsid w:val="008C7888"/>
    <w:rsid w:val="008D7646"/>
    <w:rsid w:val="008E37BB"/>
    <w:rsid w:val="008E4417"/>
    <w:rsid w:val="008E61E2"/>
    <w:rsid w:val="008E7CAC"/>
    <w:rsid w:val="008F052E"/>
    <w:rsid w:val="008F2327"/>
    <w:rsid w:val="008F7651"/>
    <w:rsid w:val="008F7D18"/>
    <w:rsid w:val="009016D9"/>
    <w:rsid w:val="00901D91"/>
    <w:rsid w:val="00903953"/>
    <w:rsid w:val="009047A8"/>
    <w:rsid w:val="00904CCA"/>
    <w:rsid w:val="00907F82"/>
    <w:rsid w:val="0091000B"/>
    <w:rsid w:val="00912B28"/>
    <w:rsid w:val="00912E4B"/>
    <w:rsid w:val="009215D4"/>
    <w:rsid w:val="009266AD"/>
    <w:rsid w:val="00932187"/>
    <w:rsid w:val="00934992"/>
    <w:rsid w:val="00934F67"/>
    <w:rsid w:val="00935B3A"/>
    <w:rsid w:val="00941744"/>
    <w:rsid w:val="00942FA7"/>
    <w:rsid w:val="009431CE"/>
    <w:rsid w:val="0094612C"/>
    <w:rsid w:val="00951CB9"/>
    <w:rsid w:val="00952747"/>
    <w:rsid w:val="00963764"/>
    <w:rsid w:val="0096390C"/>
    <w:rsid w:val="009661D4"/>
    <w:rsid w:val="009666A4"/>
    <w:rsid w:val="00972A06"/>
    <w:rsid w:val="0097312B"/>
    <w:rsid w:val="00973A7F"/>
    <w:rsid w:val="009756F4"/>
    <w:rsid w:val="00985290"/>
    <w:rsid w:val="00986D38"/>
    <w:rsid w:val="0099520D"/>
    <w:rsid w:val="009A2D98"/>
    <w:rsid w:val="009B6DED"/>
    <w:rsid w:val="009C05BE"/>
    <w:rsid w:val="009C471A"/>
    <w:rsid w:val="009C47DC"/>
    <w:rsid w:val="009D12CA"/>
    <w:rsid w:val="009D38B7"/>
    <w:rsid w:val="009D4F50"/>
    <w:rsid w:val="009E7CFC"/>
    <w:rsid w:val="009F2F8E"/>
    <w:rsid w:val="009F2F9E"/>
    <w:rsid w:val="009F5722"/>
    <w:rsid w:val="009F7558"/>
    <w:rsid w:val="00A03A53"/>
    <w:rsid w:val="00A0551E"/>
    <w:rsid w:val="00A2083C"/>
    <w:rsid w:val="00A22CB6"/>
    <w:rsid w:val="00A24E50"/>
    <w:rsid w:val="00A25622"/>
    <w:rsid w:val="00A267D5"/>
    <w:rsid w:val="00A321D0"/>
    <w:rsid w:val="00A37471"/>
    <w:rsid w:val="00A42289"/>
    <w:rsid w:val="00A4338E"/>
    <w:rsid w:val="00A433DE"/>
    <w:rsid w:val="00A45AAC"/>
    <w:rsid w:val="00A509B5"/>
    <w:rsid w:val="00A538E5"/>
    <w:rsid w:val="00A5468E"/>
    <w:rsid w:val="00A54B55"/>
    <w:rsid w:val="00A54C61"/>
    <w:rsid w:val="00A56751"/>
    <w:rsid w:val="00A56E17"/>
    <w:rsid w:val="00A615AF"/>
    <w:rsid w:val="00A62F8B"/>
    <w:rsid w:val="00A65A1C"/>
    <w:rsid w:val="00A7018A"/>
    <w:rsid w:val="00A76631"/>
    <w:rsid w:val="00A774A0"/>
    <w:rsid w:val="00A803C4"/>
    <w:rsid w:val="00A81364"/>
    <w:rsid w:val="00A85BB5"/>
    <w:rsid w:val="00AA256A"/>
    <w:rsid w:val="00AA5CD7"/>
    <w:rsid w:val="00AB13EE"/>
    <w:rsid w:val="00AB472D"/>
    <w:rsid w:val="00AB55C0"/>
    <w:rsid w:val="00AB5A11"/>
    <w:rsid w:val="00AC2EB7"/>
    <w:rsid w:val="00AC3B5A"/>
    <w:rsid w:val="00AC5075"/>
    <w:rsid w:val="00AD3104"/>
    <w:rsid w:val="00AD3233"/>
    <w:rsid w:val="00AD5E08"/>
    <w:rsid w:val="00AE4AAA"/>
    <w:rsid w:val="00AE62A9"/>
    <w:rsid w:val="00AE713C"/>
    <w:rsid w:val="00AE7556"/>
    <w:rsid w:val="00B01B79"/>
    <w:rsid w:val="00B0253A"/>
    <w:rsid w:val="00B0558F"/>
    <w:rsid w:val="00B0783E"/>
    <w:rsid w:val="00B11338"/>
    <w:rsid w:val="00B1514C"/>
    <w:rsid w:val="00B1542F"/>
    <w:rsid w:val="00B20018"/>
    <w:rsid w:val="00B261C6"/>
    <w:rsid w:val="00B30DB0"/>
    <w:rsid w:val="00B325A6"/>
    <w:rsid w:val="00B32F1E"/>
    <w:rsid w:val="00B33407"/>
    <w:rsid w:val="00B336AC"/>
    <w:rsid w:val="00B37A95"/>
    <w:rsid w:val="00B40773"/>
    <w:rsid w:val="00B41E68"/>
    <w:rsid w:val="00B444DC"/>
    <w:rsid w:val="00B45116"/>
    <w:rsid w:val="00B45138"/>
    <w:rsid w:val="00B46441"/>
    <w:rsid w:val="00B5133E"/>
    <w:rsid w:val="00B529B3"/>
    <w:rsid w:val="00B54315"/>
    <w:rsid w:val="00B6590A"/>
    <w:rsid w:val="00B744AD"/>
    <w:rsid w:val="00B771CB"/>
    <w:rsid w:val="00B774B2"/>
    <w:rsid w:val="00B77842"/>
    <w:rsid w:val="00B83670"/>
    <w:rsid w:val="00B85484"/>
    <w:rsid w:val="00B9006B"/>
    <w:rsid w:val="00B90C81"/>
    <w:rsid w:val="00B910E6"/>
    <w:rsid w:val="00B975C8"/>
    <w:rsid w:val="00B9795D"/>
    <w:rsid w:val="00BA1E4B"/>
    <w:rsid w:val="00BA2B94"/>
    <w:rsid w:val="00BB5358"/>
    <w:rsid w:val="00BB697D"/>
    <w:rsid w:val="00BC16F1"/>
    <w:rsid w:val="00BD17B7"/>
    <w:rsid w:val="00BD1ACB"/>
    <w:rsid w:val="00BD2763"/>
    <w:rsid w:val="00BD355C"/>
    <w:rsid w:val="00BD4BB5"/>
    <w:rsid w:val="00BD70C7"/>
    <w:rsid w:val="00BD741F"/>
    <w:rsid w:val="00BE17A8"/>
    <w:rsid w:val="00BE342A"/>
    <w:rsid w:val="00BE3936"/>
    <w:rsid w:val="00BE75CA"/>
    <w:rsid w:val="00BF416E"/>
    <w:rsid w:val="00C03FC9"/>
    <w:rsid w:val="00C058F4"/>
    <w:rsid w:val="00C06B53"/>
    <w:rsid w:val="00C07669"/>
    <w:rsid w:val="00C10150"/>
    <w:rsid w:val="00C13FEE"/>
    <w:rsid w:val="00C14DAC"/>
    <w:rsid w:val="00C23AF4"/>
    <w:rsid w:val="00C26095"/>
    <w:rsid w:val="00C27C80"/>
    <w:rsid w:val="00C31496"/>
    <w:rsid w:val="00C37959"/>
    <w:rsid w:val="00C400EA"/>
    <w:rsid w:val="00C50965"/>
    <w:rsid w:val="00C50FE1"/>
    <w:rsid w:val="00C52440"/>
    <w:rsid w:val="00C52816"/>
    <w:rsid w:val="00C572DB"/>
    <w:rsid w:val="00C627F1"/>
    <w:rsid w:val="00C63AD2"/>
    <w:rsid w:val="00C66A0B"/>
    <w:rsid w:val="00C6733C"/>
    <w:rsid w:val="00C675F4"/>
    <w:rsid w:val="00C73267"/>
    <w:rsid w:val="00C73E56"/>
    <w:rsid w:val="00C74F6A"/>
    <w:rsid w:val="00C80021"/>
    <w:rsid w:val="00C8408E"/>
    <w:rsid w:val="00C86F75"/>
    <w:rsid w:val="00C87570"/>
    <w:rsid w:val="00C87CED"/>
    <w:rsid w:val="00C93263"/>
    <w:rsid w:val="00C9359D"/>
    <w:rsid w:val="00CA3E8A"/>
    <w:rsid w:val="00CA6EB5"/>
    <w:rsid w:val="00CB1DB1"/>
    <w:rsid w:val="00CB2AD9"/>
    <w:rsid w:val="00CC17BD"/>
    <w:rsid w:val="00CC3E56"/>
    <w:rsid w:val="00CC4D5B"/>
    <w:rsid w:val="00CD0596"/>
    <w:rsid w:val="00CD715C"/>
    <w:rsid w:val="00CE0FDC"/>
    <w:rsid w:val="00CE5974"/>
    <w:rsid w:val="00CE6D78"/>
    <w:rsid w:val="00CF0A82"/>
    <w:rsid w:val="00CF0E48"/>
    <w:rsid w:val="00CF3341"/>
    <w:rsid w:val="00CF3DDD"/>
    <w:rsid w:val="00D01871"/>
    <w:rsid w:val="00D02097"/>
    <w:rsid w:val="00D10F9F"/>
    <w:rsid w:val="00D15581"/>
    <w:rsid w:val="00D25199"/>
    <w:rsid w:val="00D3003E"/>
    <w:rsid w:val="00D30886"/>
    <w:rsid w:val="00D33DB1"/>
    <w:rsid w:val="00D41754"/>
    <w:rsid w:val="00D452F6"/>
    <w:rsid w:val="00D51CA3"/>
    <w:rsid w:val="00D54A6B"/>
    <w:rsid w:val="00D575BE"/>
    <w:rsid w:val="00D62956"/>
    <w:rsid w:val="00D6433D"/>
    <w:rsid w:val="00D71403"/>
    <w:rsid w:val="00D77286"/>
    <w:rsid w:val="00D81F44"/>
    <w:rsid w:val="00D85604"/>
    <w:rsid w:val="00D97712"/>
    <w:rsid w:val="00D97DE4"/>
    <w:rsid w:val="00DA3CF9"/>
    <w:rsid w:val="00DA4336"/>
    <w:rsid w:val="00DA4535"/>
    <w:rsid w:val="00DB5479"/>
    <w:rsid w:val="00DB67A9"/>
    <w:rsid w:val="00DB6C50"/>
    <w:rsid w:val="00DC5720"/>
    <w:rsid w:val="00DD07FD"/>
    <w:rsid w:val="00DD4BA5"/>
    <w:rsid w:val="00DD5896"/>
    <w:rsid w:val="00DE19D2"/>
    <w:rsid w:val="00DE49B2"/>
    <w:rsid w:val="00DE5AB6"/>
    <w:rsid w:val="00DE7AFF"/>
    <w:rsid w:val="00DF48EC"/>
    <w:rsid w:val="00DF5403"/>
    <w:rsid w:val="00DF62A3"/>
    <w:rsid w:val="00E04295"/>
    <w:rsid w:val="00E072E3"/>
    <w:rsid w:val="00E13B64"/>
    <w:rsid w:val="00E14150"/>
    <w:rsid w:val="00E14311"/>
    <w:rsid w:val="00E24637"/>
    <w:rsid w:val="00E27313"/>
    <w:rsid w:val="00E373E9"/>
    <w:rsid w:val="00E43933"/>
    <w:rsid w:val="00E4430A"/>
    <w:rsid w:val="00E45E8E"/>
    <w:rsid w:val="00E46991"/>
    <w:rsid w:val="00E55DE4"/>
    <w:rsid w:val="00E617F8"/>
    <w:rsid w:val="00E6371B"/>
    <w:rsid w:val="00E63939"/>
    <w:rsid w:val="00E76125"/>
    <w:rsid w:val="00E8091B"/>
    <w:rsid w:val="00E8101C"/>
    <w:rsid w:val="00E939F3"/>
    <w:rsid w:val="00E94894"/>
    <w:rsid w:val="00E957D0"/>
    <w:rsid w:val="00EA5DD0"/>
    <w:rsid w:val="00EA7D65"/>
    <w:rsid w:val="00EB2B10"/>
    <w:rsid w:val="00EC010C"/>
    <w:rsid w:val="00EC773F"/>
    <w:rsid w:val="00ED1277"/>
    <w:rsid w:val="00ED5DBE"/>
    <w:rsid w:val="00ED65F2"/>
    <w:rsid w:val="00ED7DC2"/>
    <w:rsid w:val="00ED7F27"/>
    <w:rsid w:val="00EF631C"/>
    <w:rsid w:val="00EF780D"/>
    <w:rsid w:val="00F02B96"/>
    <w:rsid w:val="00F062C9"/>
    <w:rsid w:val="00F21B3E"/>
    <w:rsid w:val="00F23C65"/>
    <w:rsid w:val="00F248BF"/>
    <w:rsid w:val="00F35925"/>
    <w:rsid w:val="00F3640B"/>
    <w:rsid w:val="00F37CB1"/>
    <w:rsid w:val="00F40B10"/>
    <w:rsid w:val="00F40F45"/>
    <w:rsid w:val="00F43FB7"/>
    <w:rsid w:val="00F46FBF"/>
    <w:rsid w:val="00F4720F"/>
    <w:rsid w:val="00F473D2"/>
    <w:rsid w:val="00F4745E"/>
    <w:rsid w:val="00F50A93"/>
    <w:rsid w:val="00F606DD"/>
    <w:rsid w:val="00F6095C"/>
    <w:rsid w:val="00F6162F"/>
    <w:rsid w:val="00F66B13"/>
    <w:rsid w:val="00F80992"/>
    <w:rsid w:val="00F93A3F"/>
    <w:rsid w:val="00F96F39"/>
    <w:rsid w:val="00F97303"/>
    <w:rsid w:val="00FA46DC"/>
    <w:rsid w:val="00FA4ED2"/>
    <w:rsid w:val="00FA61EA"/>
    <w:rsid w:val="00FB298F"/>
    <w:rsid w:val="00FB2C71"/>
    <w:rsid w:val="00FB40BE"/>
    <w:rsid w:val="00FB7315"/>
    <w:rsid w:val="00FC23F2"/>
    <w:rsid w:val="00FC3375"/>
    <w:rsid w:val="00FC5951"/>
    <w:rsid w:val="00FC5C26"/>
    <w:rsid w:val="00FC5DD6"/>
    <w:rsid w:val="00FC767A"/>
    <w:rsid w:val="00FC7FF4"/>
    <w:rsid w:val="00FD6F60"/>
    <w:rsid w:val="00FE3921"/>
    <w:rsid w:val="00FF14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colormru v:ext="edit" colors="#eaeaea,#bebebe"/>
      <o:colormenu v:ext="edit" fillcolor="none [2415]"/>
    </o:shapedefaults>
    <o:shapelayout v:ext="edit">
      <o:idmap v:ext="edit" data="1"/>
    </o:shapelayout>
  </w:shapeDefaults>
  <w:decimalSymbol w:val="."/>
  <w:listSeparator w:val=","/>
  <w15:docId w15:val="{78033F35-40DC-4C26-AC5B-60CCF151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48AE"/>
    <w:rPr>
      <w:rFonts w:ascii="Arial" w:hAnsi="Arial"/>
      <w:color w:val="000000"/>
      <w:sz w:val="24"/>
      <w:szCs w:val="24"/>
      <w:lang w:val="en-US" w:eastAsia="ja-JP"/>
    </w:rPr>
  </w:style>
  <w:style w:type="paragraph" w:styleId="Heading1">
    <w:name w:val="heading 1"/>
    <w:basedOn w:val="Normal"/>
    <w:next w:val="Normal"/>
    <w:qFormat/>
    <w:rsid w:val="00EA7D65"/>
    <w:pPr>
      <w:keepNext/>
      <w:pageBreakBefore/>
      <w:numPr>
        <w:numId w:val="2"/>
      </w:numPr>
      <w:spacing w:after="240"/>
      <w:outlineLvl w:val="0"/>
    </w:pPr>
    <w:rPr>
      <w:rFonts w:eastAsia="Times New Roman"/>
      <w:color w:val="FF0000"/>
      <w:kern w:val="28"/>
      <w:sz w:val="32"/>
      <w:szCs w:val="20"/>
      <w:lang w:val="en-GB"/>
    </w:rPr>
  </w:style>
  <w:style w:type="paragraph" w:styleId="Heading2">
    <w:name w:val="heading 2"/>
    <w:basedOn w:val="Normal"/>
    <w:next w:val="Normal"/>
    <w:qFormat/>
    <w:rsid w:val="00EA7D65"/>
    <w:pPr>
      <w:keepNext/>
      <w:numPr>
        <w:ilvl w:val="1"/>
        <w:numId w:val="2"/>
      </w:numPr>
      <w:tabs>
        <w:tab w:val="clear" w:pos="576"/>
      </w:tabs>
      <w:spacing w:before="240" w:after="240"/>
      <w:ind w:left="567" w:hanging="567"/>
      <w:outlineLvl w:val="1"/>
    </w:pPr>
    <w:rPr>
      <w:rFonts w:eastAsia="Times New Roman"/>
      <w:sz w:val="28"/>
      <w:szCs w:val="20"/>
      <w:lang w:val="en-GB"/>
    </w:rPr>
  </w:style>
  <w:style w:type="paragraph" w:styleId="Heading3">
    <w:name w:val="heading 3"/>
    <w:basedOn w:val="Normal"/>
    <w:next w:val="Normal"/>
    <w:autoRedefine/>
    <w:qFormat/>
    <w:rsid w:val="00EA7D65"/>
    <w:pPr>
      <w:keepNext/>
      <w:numPr>
        <w:ilvl w:val="2"/>
        <w:numId w:val="2"/>
      </w:numPr>
      <w:tabs>
        <w:tab w:val="clear" w:pos="720"/>
      </w:tabs>
      <w:spacing w:before="240" w:after="240"/>
      <w:ind w:left="709" w:hanging="709"/>
      <w:outlineLvl w:val="2"/>
    </w:pPr>
    <w:rPr>
      <w:rFonts w:eastAsia="Times New Roman"/>
      <w:szCs w:val="20"/>
      <w:lang w:val="en-GB"/>
    </w:rPr>
  </w:style>
  <w:style w:type="paragraph" w:styleId="Heading4">
    <w:name w:val="heading 4"/>
    <w:basedOn w:val="Normal"/>
    <w:next w:val="Normal"/>
    <w:autoRedefine/>
    <w:qFormat/>
    <w:rsid w:val="00EA7D65"/>
    <w:pPr>
      <w:keepNext/>
      <w:numPr>
        <w:ilvl w:val="3"/>
        <w:numId w:val="2"/>
      </w:numPr>
      <w:tabs>
        <w:tab w:val="clear" w:pos="864"/>
      </w:tabs>
      <w:spacing w:before="240" w:after="240"/>
      <w:ind w:left="851" w:hanging="851"/>
      <w:outlineLvl w:val="3"/>
    </w:pPr>
    <w:rPr>
      <w:rFonts w:eastAsia="Times New Roman"/>
      <w:sz w:val="20"/>
      <w:szCs w:val="20"/>
      <w:lang w:val="en-GB"/>
    </w:rPr>
  </w:style>
  <w:style w:type="paragraph" w:styleId="Heading5">
    <w:name w:val="heading 5"/>
    <w:basedOn w:val="Normal"/>
    <w:next w:val="Normal"/>
    <w:autoRedefine/>
    <w:qFormat/>
    <w:rsid w:val="00EA7D65"/>
    <w:pPr>
      <w:numPr>
        <w:ilvl w:val="4"/>
        <w:numId w:val="2"/>
      </w:numPr>
      <w:tabs>
        <w:tab w:val="clear" w:pos="1008"/>
      </w:tabs>
      <w:spacing w:before="240" w:after="60"/>
      <w:ind w:left="992" w:hanging="992"/>
      <w:outlineLvl w:val="4"/>
    </w:pPr>
    <w:rPr>
      <w:rFonts w:eastAsia="Times New Roman"/>
      <w:sz w:val="20"/>
      <w:szCs w:val="20"/>
      <w:lang w:val="en-GB"/>
    </w:rPr>
  </w:style>
  <w:style w:type="paragraph" w:styleId="Heading6">
    <w:name w:val="heading 6"/>
    <w:basedOn w:val="Normal"/>
    <w:next w:val="Normal"/>
    <w:autoRedefine/>
    <w:qFormat/>
    <w:rsid w:val="00EA7D65"/>
    <w:pPr>
      <w:numPr>
        <w:ilvl w:val="5"/>
        <w:numId w:val="2"/>
      </w:numPr>
      <w:tabs>
        <w:tab w:val="clear" w:pos="1152"/>
      </w:tabs>
      <w:spacing w:before="240" w:after="60"/>
      <w:ind w:left="1134" w:hanging="1134"/>
      <w:outlineLvl w:val="5"/>
    </w:pPr>
    <w:rPr>
      <w:rFonts w:eastAsia="Times New Roman"/>
      <w:sz w:val="20"/>
      <w:szCs w:val="20"/>
      <w:lang w:val="en-GB"/>
    </w:rPr>
  </w:style>
  <w:style w:type="paragraph" w:styleId="Heading7">
    <w:name w:val="heading 7"/>
    <w:basedOn w:val="Normal"/>
    <w:next w:val="Normal"/>
    <w:autoRedefine/>
    <w:qFormat/>
    <w:rsid w:val="00EA7D65"/>
    <w:pPr>
      <w:numPr>
        <w:ilvl w:val="6"/>
        <w:numId w:val="2"/>
      </w:numPr>
      <w:tabs>
        <w:tab w:val="clear" w:pos="1296"/>
      </w:tabs>
      <w:spacing w:before="240" w:after="60"/>
      <w:ind w:left="1276" w:hanging="1276"/>
      <w:outlineLvl w:val="6"/>
    </w:pPr>
    <w:rPr>
      <w:rFonts w:eastAsia="Times New Roman"/>
      <w:sz w:val="20"/>
      <w:szCs w:val="20"/>
      <w:lang w:val="en-GB"/>
    </w:rPr>
  </w:style>
  <w:style w:type="paragraph" w:styleId="Heading8">
    <w:name w:val="heading 8"/>
    <w:basedOn w:val="Normal"/>
    <w:next w:val="Normal"/>
    <w:autoRedefine/>
    <w:qFormat/>
    <w:rsid w:val="00EA7D65"/>
    <w:pPr>
      <w:numPr>
        <w:ilvl w:val="7"/>
        <w:numId w:val="2"/>
      </w:numPr>
      <w:tabs>
        <w:tab w:val="clear" w:pos="1440"/>
      </w:tabs>
      <w:spacing w:before="240" w:after="60"/>
      <w:ind w:left="1418" w:hanging="1418"/>
      <w:outlineLvl w:val="7"/>
    </w:pPr>
    <w:rPr>
      <w:rFonts w:eastAsia="Times New Roman"/>
      <w:sz w:val="20"/>
      <w:szCs w:val="20"/>
      <w:lang w:val="en-GB"/>
    </w:rPr>
  </w:style>
  <w:style w:type="paragraph" w:styleId="Heading9">
    <w:name w:val="heading 9"/>
    <w:basedOn w:val="Normal"/>
    <w:next w:val="Normal"/>
    <w:autoRedefine/>
    <w:qFormat/>
    <w:rsid w:val="00EA7D65"/>
    <w:pPr>
      <w:numPr>
        <w:ilvl w:val="8"/>
        <w:numId w:val="2"/>
      </w:numPr>
      <w:tabs>
        <w:tab w:val="clear" w:pos="1584"/>
      </w:tabs>
      <w:spacing w:before="240" w:after="60"/>
      <w:ind w:left="1559" w:hanging="1559"/>
      <w:outlineLvl w:val="8"/>
    </w:pPr>
    <w:rPr>
      <w:rFonts w:eastAsia="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One">
    <w:name w:val="BulletOne"/>
    <w:basedOn w:val="BodyText1"/>
    <w:qFormat/>
    <w:rsid w:val="003757DF"/>
    <w:pPr>
      <w:numPr>
        <w:numId w:val="4"/>
      </w:numPr>
    </w:pPr>
  </w:style>
  <w:style w:type="paragraph" w:styleId="Footer">
    <w:name w:val="footer"/>
    <w:basedOn w:val="Normal"/>
    <w:link w:val="FooterChar"/>
    <w:uiPriority w:val="99"/>
    <w:rsid w:val="00B0783E"/>
    <w:pPr>
      <w:tabs>
        <w:tab w:val="right" w:pos="10260"/>
      </w:tabs>
      <w:spacing w:before="120"/>
    </w:pPr>
    <w:rPr>
      <w:rFonts w:cs="Arial"/>
      <w:b/>
      <w:noProof/>
      <w:color w:val="auto"/>
      <w:sz w:val="16"/>
      <w:szCs w:val="16"/>
      <w:lang w:eastAsia="en-US"/>
    </w:rPr>
  </w:style>
  <w:style w:type="paragraph" w:customStyle="1" w:styleId="Coverpagetitle">
    <w:name w:val="Cover page title"/>
    <w:basedOn w:val="Normal"/>
    <w:qFormat/>
    <w:rsid w:val="00B0783E"/>
    <w:pPr>
      <w:spacing w:before="1440" w:line="1100" w:lineRule="exact"/>
    </w:pPr>
    <w:rPr>
      <w:rFonts w:cs="Arial"/>
      <w:bCs/>
      <w:color w:val="252525"/>
      <w:sz w:val="112"/>
      <w:szCs w:val="60"/>
    </w:rPr>
  </w:style>
  <w:style w:type="paragraph" w:customStyle="1" w:styleId="Coverpagesubtitle">
    <w:name w:val="Cover page subtitle"/>
    <w:basedOn w:val="Coverpagetitle"/>
    <w:qFormat/>
    <w:rsid w:val="00041B7C"/>
    <w:pPr>
      <w:spacing w:before="480" w:after="480" w:line="560" w:lineRule="exact"/>
    </w:pPr>
    <w:rPr>
      <w:bCs w:val="0"/>
      <w:sz w:val="54"/>
      <w:szCs w:val="56"/>
    </w:rPr>
  </w:style>
  <w:style w:type="paragraph" w:customStyle="1" w:styleId="Coverpagedetails">
    <w:name w:val="Cover page details"/>
    <w:basedOn w:val="Coverpagesubtitle"/>
    <w:next w:val="Pageheader"/>
    <w:qFormat/>
    <w:rsid w:val="00A81364"/>
    <w:pPr>
      <w:tabs>
        <w:tab w:val="left" w:pos="4320"/>
      </w:tabs>
      <w:spacing w:before="240" w:after="120"/>
    </w:pPr>
    <w:rPr>
      <w:sz w:val="20"/>
      <w:szCs w:val="24"/>
    </w:rPr>
  </w:style>
  <w:style w:type="paragraph" w:styleId="Header">
    <w:name w:val="header"/>
    <w:basedOn w:val="Normal"/>
    <w:autoRedefine/>
    <w:rsid w:val="00EA7D65"/>
    <w:pPr>
      <w:tabs>
        <w:tab w:val="center" w:pos="4153"/>
        <w:tab w:val="right" w:pos="8306"/>
      </w:tabs>
    </w:pPr>
  </w:style>
  <w:style w:type="character" w:styleId="PageNumber">
    <w:name w:val="page number"/>
    <w:rsid w:val="00EA7D65"/>
    <w:rPr>
      <w:rFonts w:ascii="Arial" w:hAnsi="Arial" w:cs="Arial"/>
      <w:sz w:val="16"/>
      <w:szCs w:val="16"/>
    </w:rPr>
  </w:style>
  <w:style w:type="paragraph" w:customStyle="1" w:styleId="Pageheader">
    <w:name w:val="Page header"/>
    <w:basedOn w:val="Normal"/>
    <w:next w:val="Paragraphhead"/>
    <w:rsid w:val="008574CA"/>
    <w:pPr>
      <w:spacing w:before="1440" w:line="1100" w:lineRule="exact"/>
    </w:pPr>
    <w:rPr>
      <w:color w:val="252525"/>
      <w:sz w:val="112"/>
    </w:rPr>
  </w:style>
  <w:style w:type="paragraph" w:customStyle="1" w:styleId="2ndlevelbullettext">
    <w:name w:val="2nd level bullet text"/>
    <w:basedOn w:val="Bullettext"/>
    <w:rsid w:val="00EA7D65"/>
    <w:pPr>
      <w:numPr>
        <w:ilvl w:val="1"/>
      </w:numPr>
      <w:tabs>
        <w:tab w:val="clear" w:pos="1440"/>
      </w:tabs>
      <w:ind w:left="720"/>
    </w:pPr>
  </w:style>
  <w:style w:type="paragraph" w:customStyle="1" w:styleId="BodyText1">
    <w:name w:val="Body Text1"/>
    <w:basedOn w:val="Normal"/>
    <w:link w:val="BodytextChar"/>
    <w:qFormat/>
    <w:rsid w:val="006F0D9A"/>
    <w:pPr>
      <w:spacing w:before="60" w:after="120" w:line="264" w:lineRule="auto"/>
    </w:pPr>
    <w:rPr>
      <w:rFonts w:cs="Arial"/>
      <w:color w:val="auto"/>
      <w:sz w:val="20"/>
      <w:szCs w:val="20"/>
    </w:rPr>
  </w:style>
  <w:style w:type="paragraph" w:customStyle="1" w:styleId="Bullettext">
    <w:name w:val="Bullet text"/>
    <w:basedOn w:val="BodyText1"/>
    <w:rsid w:val="00EA7D65"/>
    <w:pPr>
      <w:numPr>
        <w:numId w:val="1"/>
      </w:numPr>
      <w:tabs>
        <w:tab w:val="clear" w:pos="1440"/>
      </w:tabs>
      <w:spacing w:after="60" w:line="240" w:lineRule="auto"/>
      <w:ind w:left="360"/>
    </w:pPr>
  </w:style>
  <w:style w:type="paragraph" w:customStyle="1" w:styleId="Paragraphhead">
    <w:name w:val="Paragraph head"/>
    <w:basedOn w:val="Normal"/>
    <w:next w:val="BodyText1"/>
    <w:qFormat/>
    <w:rsid w:val="006F0D9A"/>
    <w:pPr>
      <w:keepNext/>
      <w:tabs>
        <w:tab w:val="left" w:pos="1520"/>
      </w:tabs>
      <w:spacing w:before="2160" w:after="1680" w:line="264" w:lineRule="auto"/>
    </w:pPr>
    <w:rPr>
      <w:rFonts w:cs="Times New Roman Bold"/>
      <w:color w:val="252525"/>
      <w:sz w:val="36"/>
    </w:rPr>
  </w:style>
  <w:style w:type="character" w:customStyle="1" w:styleId="BodytextChar">
    <w:name w:val="Body text Char"/>
    <w:link w:val="BodyText1"/>
    <w:rsid w:val="006F0D9A"/>
    <w:rPr>
      <w:rFonts w:ascii="Arial" w:hAnsi="Arial" w:cs="Arial"/>
      <w:lang w:val="en-US" w:eastAsia="ja-JP"/>
    </w:rPr>
  </w:style>
  <w:style w:type="paragraph" w:customStyle="1" w:styleId="Tabletextbold">
    <w:name w:val="Tabletextbold"/>
    <w:basedOn w:val="BodyText1"/>
    <w:qFormat/>
    <w:rsid w:val="00EA7D65"/>
    <w:rPr>
      <w:b/>
      <w:bCs/>
      <w:sz w:val="18"/>
      <w:szCs w:val="18"/>
    </w:rPr>
  </w:style>
  <w:style w:type="paragraph" w:customStyle="1" w:styleId="Tabletext">
    <w:name w:val="Tabletext"/>
    <w:basedOn w:val="BodyText1"/>
    <w:link w:val="TabletextChar"/>
    <w:qFormat/>
    <w:rsid w:val="00EA7D65"/>
    <w:pPr>
      <w:keepNext/>
      <w:spacing w:after="60"/>
    </w:pPr>
    <w:rPr>
      <w:sz w:val="18"/>
      <w:szCs w:val="18"/>
    </w:rPr>
  </w:style>
  <w:style w:type="paragraph" w:customStyle="1" w:styleId="Quotetext">
    <w:name w:val="Quotetext"/>
    <w:basedOn w:val="BodyText1"/>
    <w:autoRedefine/>
    <w:qFormat/>
    <w:rsid w:val="00EA7D65"/>
    <w:pPr>
      <w:spacing w:after="60"/>
    </w:pPr>
    <w:rPr>
      <w:i/>
      <w:iCs/>
      <w:sz w:val="18"/>
      <w:szCs w:val="18"/>
    </w:rPr>
  </w:style>
  <w:style w:type="paragraph" w:customStyle="1" w:styleId="TableBulletOne">
    <w:name w:val="TableBulletOne"/>
    <w:basedOn w:val="BulletOne"/>
    <w:autoRedefine/>
    <w:qFormat/>
    <w:rsid w:val="00EA7D65"/>
    <w:rPr>
      <w:sz w:val="18"/>
      <w:szCs w:val="18"/>
    </w:rPr>
  </w:style>
  <w:style w:type="paragraph" w:customStyle="1" w:styleId="footnote">
    <w:name w:val="footnote"/>
    <w:basedOn w:val="Normal"/>
    <w:rsid w:val="00EA7D65"/>
    <w:pPr>
      <w:autoSpaceDE w:val="0"/>
      <w:autoSpaceDN w:val="0"/>
      <w:adjustRightInd w:val="0"/>
      <w:spacing w:after="40" w:line="141" w:lineRule="atLeast"/>
    </w:pPr>
    <w:rPr>
      <w:rFonts w:eastAsia="Batang" w:cs="Arial"/>
      <w:color w:val="626469"/>
      <w:sz w:val="14"/>
      <w:szCs w:val="14"/>
    </w:rPr>
  </w:style>
  <w:style w:type="paragraph" w:customStyle="1" w:styleId="GraphTablecontent">
    <w:name w:val="Graph/Table content"/>
    <w:basedOn w:val="Normal"/>
    <w:rsid w:val="00EA7D65"/>
    <w:pPr>
      <w:spacing w:before="60" w:after="120"/>
    </w:pPr>
    <w:rPr>
      <w:rFonts w:cs="Arial"/>
      <w:color w:val="626469"/>
      <w:sz w:val="14"/>
      <w:szCs w:val="14"/>
    </w:rPr>
  </w:style>
  <w:style w:type="paragraph" w:customStyle="1" w:styleId="Tabletext2">
    <w:name w:val="Table text 2"/>
    <w:basedOn w:val="Tabletext"/>
    <w:rsid w:val="00EA7D65"/>
    <w:pPr>
      <w:jc w:val="right"/>
    </w:pPr>
  </w:style>
  <w:style w:type="paragraph" w:customStyle="1" w:styleId="Tbaletextbold2">
    <w:name w:val="Tbale text bold 2"/>
    <w:basedOn w:val="Tabletextbold"/>
    <w:rsid w:val="00EA7D65"/>
    <w:pPr>
      <w:jc w:val="right"/>
    </w:pPr>
  </w:style>
  <w:style w:type="paragraph" w:customStyle="1" w:styleId="BulletTwo">
    <w:name w:val="BulletTwo"/>
    <w:basedOn w:val="BodyText1"/>
    <w:qFormat/>
    <w:rsid w:val="003757DF"/>
    <w:pPr>
      <w:numPr>
        <w:numId w:val="5"/>
      </w:numPr>
      <w:ind w:left="720"/>
    </w:pPr>
    <w:rPr>
      <w:sz w:val="16"/>
      <w:szCs w:val="16"/>
    </w:rPr>
  </w:style>
  <w:style w:type="paragraph" w:customStyle="1" w:styleId="BulletThree">
    <w:name w:val="BulletThree"/>
    <w:basedOn w:val="BulletTwo"/>
    <w:qFormat/>
    <w:rsid w:val="003757DF"/>
    <w:pPr>
      <w:numPr>
        <w:numId w:val="6"/>
      </w:numPr>
      <w:spacing w:line="200" w:lineRule="exact"/>
      <w:ind w:left="1080"/>
    </w:pPr>
    <w:rPr>
      <w:sz w:val="14"/>
      <w:szCs w:val="12"/>
    </w:rPr>
  </w:style>
  <w:style w:type="paragraph" w:customStyle="1" w:styleId="Source">
    <w:name w:val="Source"/>
    <w:basedOn w:val="footnote"/>
    <w:autoRedefine/>
    <w:qFormat/>
    <w:rsid w:val="00EA7D65"/>
    <w:pPr>
      <w:spacing w:before="40" w:after="0" w:line="240" w:lineRule="auto"/>
    </w:pPr>
    <w:rPr>
      <w:color w:val="auto"/>
    </w:rPr>
  </w:style>
  <w:style w:type="paragraph" w:customStyle="1" w:styleId="Tableheadredborder">
    <w:name w:val="Tableheadredborder"/>
    <w:basedOn w:val="Normal"/>
    <w:qFormat/>
    <w:rsid w:val="00EA7D65"/>
    <w:pPr>
      <w:keepNext/>
      <w:pBdr>
        <w:bottom w:val="single" w:sz="4" w:space="1" w:color="FF0000"/>
      </w:pBdr>
      <w:spacing w:before="60" w:after="60" w:line="240" w:lineRule="exact"/>
    </w:pPr>
    <w:rPr>
      <w:rFonts w:cs="Arial"/>
      <w:b/>
      <w:bCs/>
      <w:color w:val="auto"/>
      <w:sz w:val="20"/>
      <w:szCs w:val="20"/>
    </w:rPr>
  </w:style>
  <w:style w:type="paragraph" w:customStyle="1" w:styleId="Tabletitle">
    <w:name w:val="Tabletitle"/>
    <w:basedOn w:val="Tableheadredborder"/>
    <w:qFormat/>
    <w:rsid w:val="00EA7D65"/>
    <w:pPr>
      <w:pBdr>
        <w:bottom w:val="none" w:sz="0" w:space="0" w:color="auto"/>
      </w:pBdr>
    </w:pPr>
  </w:style>
  <w:style w:type="paragraph" w:customStyle="1" w:styleId="TableBulletTwo">
    <w:name w:val="TableBulletTwo"/>
    <w:basedOn w:val="BulletTwo"/>
    <w:autoRedefine/>
    <w:qFormat/>
    <w:rsid w:val="00EA7D65"/>
    <w:rPr>
      <w:sz w:val="18"/>
      <w:szCs w:val="18"/>
    </w:rPr>
  </w:style>
  <w:style w:type="paragraph" w:customStyle="1" w:styleId="TableBulletThree">
    <w:name w:val="TableBulletThree"/>
    <w:basedOn w:val="BulletThree"/>
    <w:autoRedefine/>
    <w:qFormat/>
    <w:rsid w:val="00EA7D65"/>
    <w:rPr>
      <w:sz w:val="18"/>
      <w:szCs w:val="18"/>
    </w:rPr>
  </w:style>
  <w:style w:type="table" w:styleId="TableGrid">
    <w:name w:val="Table Grid"/>
    <w:basedOn w:val="TableNormal"/>
    <w:rsid w:val="00EA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White">
    <w:name w:val="TabletextboldWhite"/>
    <w:basedOn w:val="Tabletextbold"/>
    <w:qFormat/>
    <w:rsid w:val="00EA7D65"/>
    <w:pPr>
      <w:keepNext/>
    </w:pPr>
    <w:rPr>
      <w:color w:val="FFFFFF"/>
      <w:lang w:val="en-GB"/>
    </w:rPr>
  </w:style>
  <w:style w:type="paragraph" w:customStyle="1" w:styleId="Tabletextobject">
    <w:name w:val="Tabletextobject"/>
    <w:basedOn w:val="Tabletext"/>
    <w:qFormat/>
    <w:rsid w:val="00EA7D65"/>
    <w:pPr>
      <w:spacing w:before="0" w:after="0" w:line="240" w:lineRule="auto"/>
    </w:pPr>
  </w:style>
  <w:style w:type="paragraph" w:customStyle="1" w:styleId="Tombstonetext">
    <w:name w:val="Tombstonetext"/>
    <w:basedOn w:val="Tabletext"/>
    <w:autoRedefine/>
    <w:qFormat/>
    <w:rsid w:val="00EA7D65"/>
    <w:pPr>
      <w:spacing w:before="40" w:after="40" w:line="240" w:lineRule="auto"/>
    </w:pPr>
    <w:rPr>
      <w:sz w:val="16"/>
      <w:szCs w:val="16"/>
    </w:rPr>
  </w:style>
  <w:style w:type="paragraph" w:customStyle="1" w:styleId="PageheaderContents">
    <w:name w:val="Page headerContents"/>
    <w:basedOn w:val="Pageheader"/>
    <w:next w:val="BodyText1"/>
    <w:rsid w:val="00EA7D65"/>
  </w:style>
  <w:style w:type="paragraph" w:styleId="TOC2">
    <w:name w:val="toc 2"/>
    <w:basedOn w:val="Normal"/>
    <w:next w:val="Normal"/>
    <w:uiPriority w:val="39"/>
    <w:rsid w:val="009C47DC"/>
    <w:pPr>
      <w:tabs>
        <w:tab w:val="left" w:pos="960"/>
        <w:tab w:val="right" w:pos="10243"/>
      </w:tabs>
      <w:spacing w:before="120" w:after="120" w:line="264" w:lineRule="auto"/>
      <w:ind w:left="432"/>
    </w:pPr>
    <w:rPr>
      <w:rFonts w:cs="Arial"/>
      <w:noProof/>
      <w:szCs w:val="22"/>
    </w:rPr>
  </w:style>
  <w:style w:type="paragraph" w:styleId="TOC1">
    <w:name w:val="toc 1"/>
    <w:basedOn w:val="Normal"/>
    <w:next w:val="Normal"/>
    <w:autoRedefine/>
    <w:uiPriority w:val="39"/>
    <w:rsid w:val="007048AE"/>
    <w:pPr>
      <w:tabs>
        <w:tab w:val="right" w:pos="10243"/>
      </w:tabs>
      <w:spacing w:before="120" w:after="120" w:line="264" w:lineRule="auto"/>
    </w:pPr>
    <w:rPr>
      <w:rFonts w:cs="Arial"/>
      <w:noProof/>
    </w:rPr>
  </w:style>
  <w:style w:type="paragraph" w:styleId="TOC3">
    <w:name w:val="toc 3"/>
    <w:basedOn w:val="Normal"/>
    <w:next w:val="Normal"/>
    <w:autoRedefine/>
    <w:uiPriority w:val="39"/>
    <w:rsid w:val="00EA7D65"/>
    <w:pPr>
      <w:spacing w:before="120" w:after="360" w:line="240" w:lineRule="exact"/>
      <w:ind w:left="482"/>
    </w:pPr>
  </w:style>
  <w:style w:type="character" w:styleId="Hyperlink">
    <w:name w:val="Hyperlink"/>
    <w:uiPriority w:val="99"/>
    <w:rsid w:val="00EA7D65"/>
    <w:rPr>
      <w:color w:val="0000FF"/>
      <w:u w:val="single"/>
    </w:rPr>
  </w:style>
  <w:style w:type="paragraph" w:customStyle="1" w:styleId="Pageheadercontd">
    <w:name w:val="Page header(contd)"/>
    <w:basedOn w:val="Pageheader"/>
    <w:rsid w:val="00045D09"/>
    <w:pPr>
      <w:spacing w:before="1920" w:after="5100" w:line="560" w:lineRule="exact"/>
    </w:pPr>
    <w:rPr>
      <w:sz w:val="56"/>
    </w:rPr>
  </w:style>
  <w:style w:type="paragraph" w:styleId="FootnoteText">
    <w:name w:val="footnote text"/>
    <w:basedOn w:val="Normal"/>
    <w:autoRedefine/>
    <w:semiHidden/>
    <w:qFormat/>
    <w:rsid w:val="00EA7D65"/>
    <w:rPr>
      <w:color w:val="auto"/>
      <w:sz w:val="14"/>
      <w:szCs w:val="20"/>
    </w:rPr>
  </w:style>
  <w:style w:type="character" w:styleId="FootnoteReference">
    <w:name w:val="footnote reference"/>
    <w:semiHidden/>
    <w:rsid w:val="00EA7D65"/>
    <w:rPr>
      <w:vertAlign w:val="superscript"/>
    </w:rPr>
  </w:style>
  <w:style w:type="paragraph" w:styleId="BalloonText">
    <w:name w:val="Balloon Text"/>
    <w:basedOn w:val="Normal"/>
    <w:link w:val="BalloonTextChar"/>
    <w:rsid w:val="00EA7D65"/>
    <w:rPr>
      <w:rFonts w:ascii="Tahoma" w:hAnsi="Tahoma" w:cs="Tahoma"/>
      <w:sz w:val="16"/>
      <w:szCs w:val="16"/>
    </w:rPr>
  </w:style>
  <w:style w:type="character" w:customStyle="1" w:styleId="BalloonTextChar">
    <w:name w:val="Balloon Text Char"/>
    <w:basedOn w:val="DefaultParagraphFont"/>
    <w:link w:val="BalloonText"/>
    <w:rsid w:val="00EA7D65"/>
    <w:rPr>
      <w:rFonts w:ascii="Tahoma" w:hAnsi="Tahoma" w:cs="Tahoma"/>
      <w:color w:val="000000"/>
      <w:sz w:val="16"/>
      <w:szCs w:val="16"/>
      <w:lang w:val="en-US" w:eastAsia="ja-JP"/>
    </w:rPr>
  </w:style>
  <w:style w:type="paragraph" w:customStyle="1" w:styleId="StyleBodyText18ptBefore2ptAfter2ptLinespacing">
    <w:name w:val="Style Body Text1 + 8 pt Before:  2 pt After:  2 pt Line spacing:..."/>
    <w:basedOn w:val="BodyText1"/>
    <w:autoRedefine/>
    <w:rsid w:val="003864D5"/>
    <w:pPr>
      <w:spacing w:before="40" w:after="40" w:line="240" w:lineRule="auto"/>
    </w:pPr>
    <w:rPr>
      <w:rFonts w:eastAsia="Times New Roman" w:cs="Times New Roman"/>
      <w:sz w:val="16"/>
    </w:rPr>
  </w:style>
  <w:style w:type="paragraph" w:customStyle="1" w:styleId="StyleBodyText18ptLeft02cmRight02cmBefore2">
    <w:name w:val="Style Body Text1 + 8 pt Left:  0.2 cm Right:  0.2 cm Before:  2 ..."/>
    <w:basedOn w:val="BodyText1"/>
    <w:autoRedefine/>
    <w:rsid w:val="003864D5"/>
    <w:pPr>
      <w:spacing w:before="40" w:after="40" w:line="240" w:lineRule="auto"/>
      <w:ind w:left="113" w:right="113"/>
    </w:pPr>
    <w:rPr>
      <w:rFonts w:eastAsia="Times New Roman" w:cs="Times New Roman"/>
      <w:sz w:val="16"/>
    </w:rPr>
  </w:style>
  <w:style w:type="paragraph" w:styleId="EndnoteText">
    <w:name w:val="endnote text"/>
    <w:basedOn w:val="Normal"/>
    <w:link w:val="EndnoteTextChar"/>
    <w:rsid w:val="00EA7D65"/>
    <w:rPr>
      <w:sz w:val="20"/>
      <w:szCs w:val="20"/>
    </w:rPr>
  </w:style>
  <w:style w:type="character" w:customStyle="1" w:styleId="EndnoteTextChar">
    <w:name w:val="Endnote Text Char"/>
    <w:basedOn w:val="DefaultParagraphFont"/>
    <w:link w:val="EndnoteText"/>
    <w:rsid w:val="00EA7D65"/>
    <w:rPr>
      <w:rFonts w:ascii="Arial" w:hAnsi="Arial"/>
      <w:color w:val="000000"/>
      <w:lang w:val="en-US" w:eastAsia="ja-JP"/>
    </w:rPr>
  </w:style>
  <w:style w:type="character" w:styleId="EndnoteReference">
    <w:name w:val="endnote reference"/>
    <w:basedOn w:val="DefaultParagraphFont"/>
    <w:rsid w:val="00EA7D65"/>
    <w:rPr>
      <w:vertAlign w:val="superscript"/>
    </w:rPr>
  </w:style>
  <w:style w:type="paragraph" w:styleId="NormalIndent">
    <w:name w:val="Normal Indent"/>
    <w:basedOn w:val="Normal"/>
    <w:rsid w:val="00EA7D65"/>
    <w:pPr>
      <w:ind w:left="720"/>
    </w:pPr>
  </w:style>
  <w:style w:type="paragraph" w:customStyle="1" w:styleId="SpacerStyle">
    <w:name w:val="Spacer Style"/>
    <w:basedOn w:val="BodyText1"/>
    <w:next w:val="BodyText1"/>
    <w:autoRedefine/>
    <w:qFormat/>
    <w:rsid w:val="00EA7D65"/>
    <w:pPr>
      <w:spacing w:before="0" w:after="0" w:line="240" w:lineRule="auto"/>
    </w:pPr>
    <w:rPr>
      <w:rFonts w:eastAsia="Times New Roman" w:cs="Times New Roman"/>
      <w:sz w:val="18"/>
      <w:szCs w:val="18"/>
    </w:rPr>
  </w:style>
  <w:style w:type="paragraph" w:customStyle="1" w:styleId="Tombstonetext6pt">
    <w:name w:val="Tombstonetext6 pt"/>
    <w:basedOn w:val="Tombstonetext"/>
    <w:qFormat/>
    <w:rsid w:val="00B1514C"/>
    <w:rPr>
      <w:sz w:val="12"/>
    </w:rPr>
  </w:style>
  <w:style w:type="paragraph" w:customStyle="1" w:styleId="TabletextBanding">
    <w:name w:val="Tabletext Banding"/>
    <w:basedOn w:val="BodyText1"/>
    <w:link w:val="TabletextBandingChar"/>
    <w:qFormat/>
    <w:rsid w:val="00EA7D65"/>
    <w:pPr>
      <w:keepNext/>
      <w:spacing w:after="60"/>
    </w:pPr>
    <w:rPr>
      <w:sz w:val="18"/>
      <w:szCs w:val="18"/>
    </w:rPr>
  </w:style>
  <w:style w:type="character" w:customStyle="1" w:styleId="TabletextBandingChar">
    <w:name w:val="Tabletext Banding Char"/>
    <w:basedOn w:val="BodytextChar"/>
    <w:link w:val="TabletextBanding"/>
    <w:rsid w:val="00EA7D65"/>
    <w:rPr>
      <w:rFonts w:ascii="Arial" w:hAnsi="Arial" w:cs="Arial"/>
      <w:sz w:val="18"/>
      <w:szCs w:val="18"/>
      <w:lang w:val="en-US" w:eastAsia="ja-JP"/>
    </w:rPr>
  </w:style>
  <w:style w:type="character" w:customStyle="1" w:styleId="TabletextChar">
    <w:name w:val="Tabletext Char"/>
    <w:basedOn w:val="TabletextBandingChar"/>
    <w:link w:val="Tabletext"/>
    <w:rsid w:val="00EA7D65"/>
    <w:rPr>
      <w:rFonts w:ascii="Arial" w:hAnsi="Arial" w:cs="Arial"/>
      <w:sz w:val="18"/>
      <w:szCs w:val="18"/>
      <w:lang w:val="en-US" w:eastAsia="ja-JP"/>
    </w:rPr>
  </w:style>
  <w:style w:type="paragraph" w:customStyle="1" w:styleId="BulletFour">
    <w:name w:val="BulletFour"/>
    <w:basedOn w:val="BulletThree"/>
    <w:rsid w:val="00D01871"/>
    <w:pPr>
      <w:numPr>
        <w:numId w:val="7"/>
      </w:numPr>
      <w:tabs>
        <w:tab w:val="num" w:pos="1138"/>
      </w:tabs>
      <w:ind w:left="1440"/>
    </w:pPr>
  </w:style>
  <w:style w:type="table" w:customStyle="1" w:styleId="HSBC">
    <w:name w:val="HSBC"/>
    <w:basedOn w:val="TableNormal"/>
    <w:uiPriority w:val="99"/>
    <w:rsid w:val="00EA7D65"/>
    <w:rPr>
      <w:rFonts w:ascii="Arial" w:eastAsiaTheme="minorHAnsi" w:hAnsi="Arial" w:cstheme="minorBidi"/>
      <w:sz w:val="18"/>
      <w:szCs w:val="22"/>
      <w:lang w:val="en-US" w:eastAsia="en-US"/>
    </w:rPr>
    <w:tblPr>
      <w:tblStyleRowBandSize w:val="1"/>
      <w:tblStyleColBandSize w:val="1"/>
      <w:tblBorders>
        <w:top w:val="single" w:sz="8" w:space="0" w:color="808080" w:themeColor="background1" w:themeShade="80"/>
        <w:bottom w:val="single" w:sz="8" w:space="0" w:color="FF0000"/>
      </w:tblBorders>
    </w:tblPr>
    <w:tcPr>
      <w:shd w:val="clear" w:color="auto" w:fill="auto"/>
    </w:tcPr>
    <w:tblStylePr w:type="firstRow">
      <w:pPr>
        <w:wordWrap/>
        <w:jc w:val="right"/>
      </w:pPr>
    </w:tblStylePr>
    <w:tblStylePr w:type="band2Horz">
      <w:tblPr/>
      <w:tcPr>
        <w:shd w:val="clear" w:color="auto" w:fill="0F79D6" w:themeFill="background2"/>
      </w:tcPr>
    </w:tblStylePr>
  </w:style>
  <w:style w:type="character" w:styleId="LineNumber">
    <w:name w:val="line number"/>
    <w:basedOn w:val="DefaultParagraphFont"/>
    <w:rsid w:val="00EA7D65"/>
  </w:style>
  <w:style w:type="paragraph" w:customStyle="1" w:styleId="Sectionpagetitle">
    <w:name w:val="Section page title"/>
    <w:basedOn w:val="Normal"/>
    <w:uiPriority w:val="99"/>
    <w:rsid w:val="00EA7D65"/>
    <w:pPr>
      <w:spacing w:before="9000"/>
      <w:ind w:left="207"/>
    </w:pPr>
    <w:rPr>
      <w:rFonts w:cs="Arial"/>
      <w:b/>
      <w:bCs/>
      <w:sz w:val="60"/>
      <w:szCs w:val="60"/>
    </w:rPr>
  </w:style>
  <w:style w:type="paragraph" w:customStyle="1" w:styleId="Sectionpagesubtitle">
    <w:name w:val="Section page subtitle"/>
    <w:basedOn w:val="Coverpagesubtitle"/>
    <w:uiPriority w:val="99"/>
    <w:rsid w:val="00EA7D65"/>
  </w:style>
  <w:style w:type="paragraph" w:styleId="BodyText">
    <w:name w:val="Body Text"/>
    <w:basedOn w:val="Normal"/>
    <w:link w:val="BodyTextChar0"/>
    <w:rsid w:val="00EA7D65"/>
    <w:pPr>
      <w:spacing w:after="120"/>
    </w:pPr>
  </w:style>
  <w:style w:type="character" w:customStyle="1" w:styleId="BodyTextChar0">
    <w:name w:val="Body Text Char"/>
    <w:basedOn w:val="DefaultParagraphFont"/>
    <w:link w:val="BodyText"/>
    <w:rsid w:val="00EA7D65"/>
    <w:rPr>
      <w:rFonts w:ascii="Arial" w:hAnsi="Arial"/>
      <w:color w:val="000000"/>
      <w:sz w:val="24"/>
      <w:szCs w:val="24"/>
      <w:lang w:val="en-US" w:eastAsia="ja-JP"/>
    </w:rPr>
  </w:style>
  <w:style w:type="paragraph" w:customStyle="1" w:styleId="NumberOne">
    <w:name w:val="NumberOne"/>
    <w:basedOn w:val="BodyText1"/>
    <w:link w:val="NumberOneChar"/>
    <w:autoRedefine/>
    <w:rsid w:val="00EA7D65"/>
    <w:pPr>
      <w:numPr>
        <w:numId w:val="3"/>
      </w:numPr>
      <w:spacing w:before="0" w:line="276" w:lineRule="auto"/>
    </w:pPr>
    <w:rPr>
      <w:rFonts w:cstheme="minorBidi"/>
      <w:szCs w:val="22"/>
    </w:rPr>
  </w:style>
  <w:style w:type="character" w:customStyle="1" w:styleId="NumberOneChar">
    <w:name w:val="NumberOne Char"/>
    <w:basedOn w:val="BodytextChar"/>
    <w:link w:val="NumberOne"/>
    <w:rsid w:val="00EA7D65"/>
    <w:rPr>
      <w:rFonts w:ascii="Arial" w:hAnsi="Arial" w:cstheme="minorBidi"/>
      <w:szCs w:val="22"/>
      <w:lang w:val="en-US" w:eastAsia="ja-JP"/>
    </w:rPr>
  </w:style>
  <w:style w:type="paragraph" w:customStyle="1" w:styleId="NumberTwo">
    <w:name w:val="NumberTwo"/>
    <w:basedOn w:val="BodyText1"/>
    <w:link w:val="NumberTwoChar"/>
    <w:autoRedefine/>
    <w:rsid w:val="00EA7D65"/>
    <w:pPr>
      <w:numPr>
        <w:ilvl w:val="1"/>
        <w:numId w:val="3"/>
      </w:numPr>
      <w:spacing w:before="0" w:line="276" w:lineRule="auto"/>
      <w:ind w:left="720" w:hanging="360"/>
    </w:pPr>
    <w:rPr>
      <w:rFonts w:cstheme="minorBidi"/>
      <w:sz w:val="16"/>
      <w:szCs w:val="16"/>
    </w:rPr>
  </w:style>
  <w:style w:type="character" w:customStyle="1" w:styleId="NumberTwoChar">
    <w:name w:val="NumberTwo Char"/>
    <w:basedOn w:val="BodytextChar"/>
    <w:link w:val="NumberTwo"/>
    <w:rsid w:val="00EA7D65"/>
    <w:rPr>
      <w:rFonts w:ascii="Arial" w:hAnsi="Arial" w:cstheme="minorBidi"/>
      <w:sz w:val="16"/>
      <w:szCs w:val="16"/>
      <w:lang w:val="en-US" w:eastAsia="ja-JP"/>
    </w:rPr>
  </w:style>
  <w:style w:type="paragraph" w:customStyle="1" w:styleId="NumberThree">
    <w:name w:val="NumberThree"/>
    <w:basedOn w:val="BodyText1"/>
    <w:link w:val="NumberThreeChar"/>
    <w:autoRedefine/>
    <w:rsid w:val="00EA7D65"/>
    <w:pPr>
      <w:numPr>
        <w:ilvl w:val="2"/>
        <w:numId w:val="3"/>
      </w:numPr>
      <w:spacing w:before="0" w:line="276" w:lineRule="auto"/>
      <w:ind w:left="1224" w:hanging="504"/>
    </w:pPr>
    <w:rPr>
      <w:rFonts w:cstheme="minorBidi"/>
      <w:sz w:val="14"/>
      <w:szCs w:val="22"/>
    </w:rPr>
  </w:style>
  <w:style w:type="character" w:customStyle="1" w:styleId="NumberThreeChar">
    <w:name w:val="NumberThree Char"/>
    <w:basedOn w:val="BodytextChar"/>
    <w:link w:val="NumberThree"/>
    <w:rsid w:val="00EA7D65"/>
    <w:rPr>
      <w:rFonts w:ascii="Arial" w:hAnsi="Arial" w:cstheme="minorBidi"/>
      <w:sz w:val="14"/>
      <w:szCs w:val="22"/>
      <w:lang w:val="en-US" w:eastAsia="ja-JP"/>
    </w:rPr>
  </w:style>
  <w:style w:type="paragraph" w:customStyle="1" w:styleId="NumberFour">
    <w:name w:val="NumberFour"/>
    <w:basedOn w:val="BodyText1"/>
    <w:link w:val="NumberFourChar"/>
    <w:autoRedefine/>
    <w:rsid w:val="00EA7D65"/>
    <w:pPr>
      <w:numPr>
        <w:ilvl w:val="3"/>
        <w:numId w:val="3"/>
      </w:numPr>
      <w:spacing w:before="0" w:line="276" w:lineRule="auto"/>
      <w:ind w:left="1728" w:hanging="504"/>
    </w:pPr>
    <w:rPr>
      <w:rFonts w:cstheme="minorBidi"/>
      <w:sz w:val="12"/>
      <w:szCs w:val="22"/>
    </w:rPr>
  </w:style>
  <w:style w:type="character" w:customStyle="1" w:styleId="NumberFourChar">
    <w:name w:val="NumberFour Char"/>
    <w:basedOn w:val="BodytextChar"/>
    <w:link w:val="NumberFour"/>
    <w:rsid w:val="00EA7D65"/>
    <w:rPr>
      <w:rFonts w:ascii="Arial" w:hAnsi="Arial" w:cstheme="minorBidi"/>
      <w:sz w:val="12"/>
      <w:szCs w:val="22"/>
      <w:lang w:val="en-US" w:eastAsia="ja-JP"/>
    </w:rPr>
  </w:style>
  <w:style w:type="paragraph" w:customStyle="1" w:styleId="NumberFive">
    <w:name w:val="NumberFive"/>
    <w:basedOn w:val="BodyText1"/>
    <w:link w:val="NumberFiveChar"/>
    <w:autoRedefine/>
    <w:rsid w:val="00EA7D65"/>
    <w:pPr>
      <w:numPr>
        <w:ilvl w:val="4"/>
        <w:numId w:val="3"/>
      </w:numPr>
      <w:spacing w:before="0" w:line="276" w:lineRule="auto"/>
      <w:ind w:left="2376" w:hanging="648"/>
    </w:pPr>
    <w:rPr>
      <w:rFonts w:cstheme="minorBidi"/>
      <w:sz w:val="12"/>
      <w:szCs w:val="12"/>
    </w:rPr>
  </w:style>
  <w:style w:type="character" w:customStyle="1" w:styleId="NumberFiveChar">
    <w:name w:val="NumberFive Char"/>
    <w:basedOn w:val="BodytextChar"/>
    <w:link w:val="NumberFive"/>
    <w:rsid w:val="00EA7D65"/>
    <w:rPr>
      <w:rFonts w:ascii="Arial" w:hAnsi="Arial" w:cstheme="minorBidi"/>
      <w:sz w:val="12"/>
      <w:szCs w:val="12"/>
      <w:lang w:val="en-US" w:eastAsia="ja-JP"/>
    </w:rPr>
  </w:style>
  <w:style w:type="paragraph" w:customStyle="1" w:styleId="BulletFive">
    <w:name w:val="BulletFive"/>
    <w:basedOn w:val="BulletFour"/>
    <w:rsid w:val="00B0783E"/>
    <w:pPr>
      <w:ind w:left="1800"/>
    </w:pPr>
  </w:style>
  <w:style w:type="paragraph" w:customStyle="1" w:styleId="Sectionpagetitle2">
    <w:name w:val="Section page title 2"/>
    <w:basedOn w:val="Sectionpagetitle"/>
    <w:uiPriority w:val="99"/>
    <w:rsid w:val="00EA7D65"/>
    <w:pPr>
      <w:spacing w:before="5600"/>
      <w:ind w:left="216"/>
    </w:pPr>
  </w:style>
  <w:style w:type="paragraph" w:customStyle="1" w:styleId="Sectiontitle">
    <w:name w:val="Section title"/>
    <w:basedOn w:val="Coverpagetitle"/>
    <w:rsid w:val="00240E3B"/>
    <w:pPr>
      <w:spacing w:before="6500"/>
    </w:pPr>
  </w:style>
  <w:style w:type="paragraph" w:customStyle="1" w:styleId="StyleCoverpagedetailsBold">
    <w:name w:val="Style Cover page details + Bold"/>
    <w:basedOn w:val="Coverpagedetails"/>
    <w:rsid w:val="00A81364"/>
    <w:rPr>
      <w:bCs/>
      <w:sz w:val="18"/>
    </w:rPr>
  </w:style>
  <w:style w:type="paragraph" w:customStyle="1" w:styleId="StyleStyleCoverpagedetailsBoldBold">
    <w:name w:val="Style Style Cover page details + Bold + Bold"/>
    <w:basedOn w:val="StyleCoverpagedetailsBold"/>
    <w:rsid w:val="00A81364"/>
  </w:style>
  <w:style w:type="paragraph" w:customStyle="1" w:styleId="StyleParagraphheadtitle">
    <w:name w:val="Style Paragraph head (title)"/>
    <w:basedOn w:val="Paragraphhead"/>
    <w:rsid w:val="00FA4ED2"/>
    <w:pPr>
      <w:spacing w:line="800" w:lineRule="exact"/>
    </w:pPr>
    <w:rPr>
      <w:rFonts w:eastAsia="Times New Roman" w:cs="Times New Roman"/>
      <w:sz w:val="80"/>
      <w:szCs w:val="20"/>
    </w:rPr>
  </w:style>
  <w:style w:type="paragraph" w:customStyle="1" w:styleId="StyleBodyText1Bold">
    <w:name w:val="Style Body Text1 + Bold"/>
    <w:basedOn w:val="BodyText1"/>
    <w:rsid w:val="00041B7C"/>
    <w:rPr>
      <w:b/>
      <w:bCs/>
    </w:rPr>
  </w:style>
  <w:style w:type="paragraph" w:customStyle="1" w:styleId="GraphTitle">
    <w:name w:val="Graph Title"/>
    <w:basedOn w:val="Normal"/>
    <w:rsid w:val="00B0783E"/>
    <w:rPr>
      <w:rFonts w:cs="Arial"/>
      <w:b/>
      <w:color w:val="252525"/>
    </w:rPr>
  </w:style>
  <w:style w:type="paragraph" w:customStyle="1" w:styleId="ChartSubtitle">
    <w:name w:val="Chart Subtitle"/>
    <w:basedOn w:val="BodyText1"/>
    <w:rsid w:val="00B0783E"/>
    <w:pPr>
      <w:spacing w:before="0" w:after="0" w:line="240" w:lineRule="auto"/>
    </w:pPr>
    <w:rPr>
      <w:b/>
      <w:color w:val="252525"/>
      <w:sz w:val="16"/>
    </w:rPr>
  </w:style>
  <w:style w:type="character" w:customStyle="1" w:styleId="captionguide">
    <w:name w:val="caption_guide"/>
    <w:basedOn w:val="DefaultParagraphFont"/>
    <w:rsid w:val="00B0783E"/>
    <w:rPr>
      <w:rFonts w:ascii="Arial" w:hAnsi="Arial"/>
      <w:color w:val="808080" w:themeColor="background1" w:themeShade="80"/>
      <w:sz w:val="16"/>
    </w:rPr>
  </w:style>
  <w:style w:type="paragraph" w:customStyle="1" w:styleId="ColumnTitle">
    <w:name w:val="Column Title"/>
    <w:basedOn w:val="Normal"/>
    <w:rsid w:val="00B0783E"/>
    <w:pPr>
      <w:spacing w:line="500" w:lineRule="exact"/>
    </w:pPr>
    <w:rPr>
      <w:rFonts w:eastAsia="Times New Roman"/>
      <w:color w:val="252525"/>
      <w:sz w:val="48"/>
      <w:szCs w:val="20"/>
    </w:rPr>
  </w:style>
  <w:style w:type="paragraph" w:customStyle="1" w:styleId="ParagraphTitle">
    <w:name w:val="Paragraph Title"/>
    <w:basedOn w:val="BodyText1"/>
    <w:rsid w:val="006F0D9A"/>
    <w:pPr>
      <w:spacing w:before="360"/>
    </w:pPr>
    <w:rPr>
      <w:b/>
      <w:bCs/>
      <w:sz w:val="24"/>
    </w:rPr>
  </w:style>
  <w:style w:type="paragraph" w:customStyle="1" w:styleId="SubtitleParagraph">
    <w:name w:val="Subtitle Paragraph"/>
    <w:basedOn w:val="BodyText1"/>
    <w:rsid w:val="006F0D9A"/>
    <w:rPr>
      <w:b/>
      <w:bCs/>
    </w:rPr>
  </w:style>
  <w:style w:type="paragraph" w:customStyle="1" w:styleId="TableTitle0">
    <w:name w:val="Table Title"/>
    <w:basedOn w:val="BodyText1"/>
    <w:rsid w:val="00B0783E"/>
    <w:pPr>
      <w:spacing w:after="60" w:line="200" w:lineRule="exact"/>
    </w:pPr>
    <w:rPr>
      <w:lang w:val="en-GB"/>
    </w:rPr>
  </w:style>
  <w:style w:type="paragraph" w:customStyle="1" w:styleId="TableHeader">
    <w:name w:val="Table Header"/>
    <w:basedOn w:val="TableTitle0"/>
    <w:rsid w:val="00B0783E"/>
  </w:style>
  <w:style w:type="paragraph" w:customStyle="1" w:styleId="TableText0">
    <w:name w:val="Table Text"/>
    <w:basedOn w:val="BodyText1"/>
    <w:rsid w:val="00B0783E"/>
    <w:pPr>
      <w:spacing w:after="60" w:line="240" w:lineRule="auto"/>
    </w:pPr>
    <w:rPr>
      <w:sz w:val="16"/>
      <w:lang w:val="en-GB"/>
    </w:rPr>
  </w:style>
  <w:style w:type="paragraph" w:styleId="NormalWeb">
    <w:name w:val="Normal (Web)"/>
    <w:basedOn w:val="Normal"/>
    <w:uiPriority w:val="99"/>
    <w:semiHidden/>
    <w:unhideWhenUsed/>
    <w:rsid w:val="007814F3"/>
    <w:pPr>
      <w:spacing w:before="100" w:beforeAutospacing="1" w:after="100" w:afterAutospacing="1"/>
    </w:pPr>
    <w:rPr>
      <w:rFonts w:ascii="Times New Roman" w:eastAsiaTheme="minorEastAsia" w:hAnsi="Times New Roman"/>
      <w:color w:val="auto"/>
      <w:lang w:eastAsia="en-US"/>
    </w:rPr>
  </w:style>
  <w:style w:type="paragraph" w:customStyle="1" w:styleId="StyleLatinUniversNextforHSBCLight8ptBackground1Cent">
    <w:name w:val="Style (Latin) Univers Next for HSBC Light 8 pt Background 1 Cent..."/>
    <w:basedOn w:val="Normal"/>
    <w:rsid w:val="00B0783E"/>
    <w:pPr>
      <w:jc w:val="center"/>
    </w:pPr>
    <w:rPr>
      <w:rFonts w:eastAsia="Times New Roman"/>
      <w:color w:val="808080" w:themeColor="background1" w:themeShade="80"/>
      <w:sz w:val="16"/>
      <w:szCs w:val="20"/>
    </w:rPr>
  </w:style>
  <w:style w:type="character" w:customStyle="1" w:styleId="FooterChar">
    <w:name w:val="Footer Char"/>
    <w:basedOn w:val="DefaultParagraphFont"/>
    <w:link w:val="Footer"/>
    <w:uiPriority w:val="99"/>
    <w:rsid w:val="008574CA"/>
    <w:rPr>
      <w:rFonts w:ascii="Arial" w:hAnsi="Arial" w:cs="Arial"/>
      <w:b/>
      <w:noProof/>
      <w:sz w:val="16"/>
      <w:szCs w:val="16"/>
      <w:lang w:val="en-US" w:eastAsia="en-US"/>
    </w:rPr>
  </w:style>
  <w:style w:type="paragraph" w:customStyle="1" w:styleId="Contenttitle">
    <w:name w:val="Content title"/>
    <w:next w:val="BodyText1"/>
    <w:rsid w:val="007048AE"/>
    <w:pPr>
      <w:spacing w:after="1840" w:line="400" w:lineRule="exact"/>
    </w:pPr>
    <w:rPr>
      <w:rFonts w:asciiTheme="minorHAnsi" w:hAnsiTheme="minorHAnsi" w:cs="Arial"/>
      <w:b/>
      <w:bCs/>
      <w:color w:val="000000" w:themeColor="text1"/>
      <w:sz w:val="40"/>
      <w:lang w:val="en-US" w:eastAsia="ja-JP"/>
    </w:rPr>
  </w:style>
  <w:style w:type="character" w:styleId="FollowedHyperlink">
    <w:name w:val="FollowedHyperlink"/>
    <w:basedOn w:val="DefaultParagraphFont"/>
    <w:semiHidden/>
    <w:unhideWhenUsed/>
    <w:rsid w:val="003A66B8"/>
    <w:rPr>
      <w:color w:val="D7D8D6" w:themeColor="followedHyperlink"/>
      <w:u w:val="single"/>
    </w:rPr>
  </w:style>
  <w:style w:type="paragraph" w:styleId="ListParagraph">
    <w:name w:val="List Paragraph"/>
    <w:basedOn w:val="Normal"/>
    <w:link w:val="ListParagraphChar"/>
    <w:uiPriority w:val="34"/>
    <w:qFormat/>
    <w:rsid w:val="00BD355C"/>
    <w:pPr>
      <w:ind w:left="720"/>
      <w:contextualSpacing/>
    </w:pPr>
  </w:style>
  <w:style w:type="paragraph" w:styleId="TOCHeading">
    <w:name w:val="TOC Heading"/>
    <w:basedOn w:val="Heading1"/>
    <w:next w:val="Normal"/>
    <w:uiPriority w:val="39"/>
    <w:unhideWhenUsed/>
    <w:qFormat/>
    <w:rsid w:val="00C6733C"/>
    <w:pPr>
      <w:keepLines/>
      <w:pageBreakBefore w:val="0"/>
      <w:numPr>
        <w:numId w:val="0"/>
      </w:numPr>
      <w:spacing w:before="240" w:after="0" w:line="259" w:lineRule="auto"/>
      <w:outlineLvl w:val="9"/>
    </w:pPr>
    <w:rPr>
      <w:rFonts w:asciiTheme="majorHAnsi" w:eastAsiaTheme="majorEastAsia" w:hAnsiTheme="majorHAnsi" w:cstheme="majorBidi"/>
      <w:color w:val="A4000C" w:themeColor="accent1" w:themeShade="BF"/>
      <w:kern w:val="0"/>
      <w:szCs w:val="32"/>
      <w:lang w:val="en-US" w:eastAsia="en-US"/>
    </w:rPr>
  </w:style>
  <w:style w:type="paragraph" w:customStyle="1" w:styleId="NumberedHeading1">
    <w:name w:val="Numbered Heading 1"/>
    <w:basedOn w:val="Heading1"/>
    <w:rsid w:val="00E27313"/>
    <w:pPr>
      <w:keepNext w:val="0"/>
      <w:pageBreakBefore w:val="0"/>
      <w:numPr>
        <w:numId w:val="0"/>
      </w:numPr>
      <w:spacing w:after="275"/>
    </w:pPr>
    <w:rPr>
      <w:rFonts w:ascii="EYInterstate" w:hAnsi="EYInterstate" w:cs="Arial"/>
      <w:bCs/>
      <w:color w:val="646464"/>
      <w:spacing w:val="-10"/>
      <w:kern w:val="32"/>
      <w:sz w:val="48"/>
      <w:szCs w:val="48"/>
      <w:lang w:eastAsia="en-US"/>
    </w:rPr>
  </w:style>
  <w:style w:type="character" w:styleId="CommentReference">
    <w:name w:val="annotation reference"/>
    <w:basedOn w:val="DefaultParagraphFont"/>
    <w:uiPriority w:val="99"/>
    <w:rsid w:val="00E27313"/>
    <w:rPr>
      <w:sz w:val="16"/>
      <w:szCs w:val="16"/>
    </w:rPr>
  </w:style>
  <w:style w:type="paragraph" w:styleId="CommentText">
    <w:name w:val="annotation text"/>
    <w:basedOn w:val="Normal"/>
    <w:link w:val="CommentTextChar"/>
    <w:uiPriority w:val="99"/>
    <w:rsid w:val="00E27313"/>
    <w:rPr>
      <w:rFonts w:ascii="EYInterstate" w:eastAsia="Times New Roman" w:hAnsi="EYInterstate"/>
      <w:color w:val="auto"/>
      <w:sz w:val="20"/>
      <w:szCs w:val="20"/>
      <w:lang w:eastAsia="en-US"/>
    </w:rPr>
  </w:style>
  <w:style w:type="character" w:customStyle="1" w:styleId="CommentTextChar">
    <w:name w:val="Comment Text Char"/>
    <w:basedOn w:val="DefaultParagraphFont"/>
    <w:link w:val="CommentText"/>
    <w:uiPriority w:val="99"/>
    <w:rsid w:val="00E27313"/>
    <w:rPr>
      <w:rFonts w:ascii="EYInterstate" w:eastAsia="Times New Roman" w:hAnsi="EYInterstate"/>
      <w:lang w:val="en-US" w:eastAsia="en-US"/>
    </w:rPr>
  </w:style>
  <w:style w:type="character" w:customStyle="1" w:styleId="ListParagraphChar">
    <w:name w:val="List Paragraph Char"/>
    <w:link w:val="ListParagraph"/>
    <w:uiPriority w:val="34"/>
    <w:locked/>
    <w:rsid w:val="00C73267"/>
    <w:rPr>
      <w:rFonts w:ascii="Arial" w:hAnsi="Arial"/>
      <w:color w:val="000000"/>
      <w:sz w:val="24"/>
      <w:szCs w:val="24"/>
      <w:lang w:val="en-US" w:eastAsia="ja-JP"/>
    </w:rPr>
  </w:style>
  <w:style w:type="paragraph" w:customStyle="1" w:styleId="Bodycopy">
    <w:name w:val="Body copy"/>
    <w:link w:val="BodycopyChar"/>
    <w:rsid w:val="003D6290"/>
    <w:pPr>
      <w:spacing w:after="240"/>
    </w:pPr>
    <w:rPr>
      <w:rFonts w:ascii="EYInterstate" w:eastAsia="Times New Roman" w:hAnsi="EYInterstate"/>
      <w:color w:val="000000"/>
      <w:szCs w:val="18"/>
      <w:lang w:val="en-US" w:eastAsia="en-US"/>
    </w:rPr>
  </w:style>
  <w:style w:type="character" w:customStyle="1" w:styleId="BodycopyChar">
    <w:name w:val="Body copy Char"/>
    <w:basedOn w:val="DefaultParagraphFont"/>
    <w:link w:val="Bodycopy"/>
    <w:rsid w:val="003D6290"/>
    <w:rPr>
      <w:rFonts w:ascii="EYInterstate" w:eastAsia="Times New Roman" w:hAnsi="EYInterstate"/>
      <w:color w:val="000000"/>
      <w:szCs w:val="18"/>
      <w:lang w:val="en-US" w:eastAsia="en-US"/>
    </w:rPr>
  </w:style>
  <w:style w:type="paragraph" w:customStyle="1" w:styleId="NumberedHeading2">
    <w:name w:val="Numbered Heading 2"/>
    <w:basedOn w:val="Heading2"/>
    <w:rsid w:val="003D6290"/>
    <w:pPr>
      <w:keepNext w:val="0"/>
      <w:numPr>
        <w:ilvl w:val="0"/>
        <w:numId w:val="0"/>
      </w:numPr>
      <w:spacing w:before="0" w:line="470" w:lineRule="exact"/>
    </w:pPr>
    <w:rPr>
      <w:rFonts w:ascii="EYInterstate" w:hAnsi="EYInterstate" w:cs="Arial"/>
      <w:b/>
      <w:bCs/>
      <w:color w:val="auto"/>
      <w:spacing w:val="-10"/>
      <w:kern w:val="32"/>
      <w:szCs w:val="48"/>
      <w:lang w:eastAsia="en-US"/>
    </w:rPr>
  </w:style>
  <w:style w:type="paragraph" w:customStyle="1" w:styleId="REBL1">
    <w:name w:val="REB_L1"/>
    <w:basedOn w:val="Normal"/>
    <w:next w:val="REBL2"/>
    <w:rsid w:val="00B37A95"/>
    <w:pPr>
      <w:keepNext/>
      <w:keepLines/>
      <w:numPr>
        <w:numId w:val="10"/>
      </w:numPr>
      <w:spacing w:after="240"/>
      <w:outlineLvl w:val="0"/>
    </w:pPr>
    <w:rPr>
      <w:rFonts w:ascii="Times New Roman" w:eastAsia="Times New Roman" w:hAnsi="Times New Roman"/>
      <w:b/>
      <w:color w:val="auto"/>
      <w:sz w:val="22"/>
      <w:szCs w:val="20"/>
      <w:lang w:val="en-GB" w:eastAsia="en-US"/>
    </w:rPr>
  </w:style>
  <w:style w:type="paragraph" w:customStyle="1" w:styleId="REBL2">
    <w:name w:val="REB_L2"/>
    <w:basedOn w:val="REBL1"/>
    <w:rsid w:val="00B37A95"/>
    <w:pPr>
      <w:numPr>
        <w:ilvl w:val="1"/>
      </w:numPr>
      <w:jc w:val="both"/>
      <w:outlineLvl w:val="9"/>
    </w:pPr>
  </w:style>
  <w:style w:type="paragraph" w:customStyle="1" w:styleId="REBL3">
    <w:name w:val="REB_L3"/>
    <w:basedOn w:val="REBL2"/>
    <w:link w:val="REBL3CharChar"/>
    <w:rsid w:val="00B37A95"/>
    <w:pPr>
      <w:numPr>
        <w:ilvl w:val="2"/>
      </w:numPr>
    </w:pPr>
  </w:style>
  <w:style w:type="paragraph" w:customStyle="1" w:styleId="REBL4">
    <w:name w:val="REB_L4"/>
    <w:basedOn w:val="REBL3"/>
    <w:rsid w:val="00B37A95"/>
    <w:pPr>
      <w:numPr>
        <w:ilvl w:val="3"/>
      </w:numPr>
      <w:tabs>
        <w:tab w:val="clear" w:pos="5160"/>
        <w:tab w:val="num" w:pos="2528"/>
      </w:tabs>
      <w:ind w:left="2528" w:hanging="684"/>
    </w:pPr>
  </w:style>
  <w:style w:type="paragraph" w:customStyle="1" w:styleId="REBL5">
    <w:name w:val="REB_L5"/>
    <w:basedOn w:val="REBL4"/>
    <w:rsid w:val="00B37A95"/>
    <w:pPr>
      <w:keepLines w:val="0"/>
      <w:numPr>
        <w:ilvl w:val="4"/>
      </w:numPr>
      <w:tabs>
        <w:tab w:val="clear" w:pos="1474"/>
        <w:tab w:val="num" w:pos="828"/>
      </w:tabs>
      <w:ind w:left="828" w:hanging="828"/>
    </w:pPr>
    <w:rPr>
      <w:szCs w:val="22"/>
    </w:rPr>
  </w:style>
  <w:style w:type="paragraph" w:customStyle="1" w:styleId="REBL6">
    <w:name w:val="REB_L6"/>
    <w:basedOn w:val="REBL5"/>
    <w:rsid w:val="00B37A95"/>
    <w:pPr>
      <w:numPr>
        <w:ilvl w:val="5"/>
      </w:numPr>
      <w:tabs>
        <w:tab w:val="clear" w:pos="2160"/>
        <w:tab w:val="num" w:pos="972"/>
      </w:tabs>
      <w:ind w:left="972" w:hanging="972"/>
    </w:pPr>
  </w:style>
  <w:style w:type="paragraph" w:customStyle="1" w:styleId="REBL7">
    <w:name w:val="REB_L7"/>
    <w:basedOn w:val="REBL6"/>
    <w:rsid w:val="00B37A95"/>
    <w:pPr>
      <w:numPr>
        <w:ilvl w:val="6"/>
      </w:numPr>
      <w:tabs>
        <w:tab w:val="clear" w:pos="2880"/>
        <w:tab w:val="num" w:pos="1116"/>
      </w:tabs>
      <w:ind w:left="1116" w:hanging="1116"/>
    </w:pPr>
  </w:style>
  <w:style w:type="paragraph" w:customStyle="1" w:styleId="REBL8">
    <w:name w:val="REB_L8"/>
    <w:basedOn w:val="REBL7"/>
    <w:rsid w:val="00B37A95"/>
    <w:pPr>
      <w:numPr>
        <w:ilvl w:val="7"/>
      </w:numPr>
      <w:tabs>
        <w:tab w:val="clear" w:pos="3600"/>
        <w:tab w:val="num" w:pos="1260"/>
      </w:tabs>
      <w:ind w:left="1260" w:hanging="1260"/>
    </w:pPr>
  </w:style>
  <w:style w:type="paragraph" w:customStyle="1" w:styleId="REBL9">
    <w:name w:val="REB_L9"/>
    <w:basedOn w:val="REBL8"/>
    <w:rsid w:val="00B37A95"/>
    <w:pPr>
      <w:numPr>
        <w:ilvl w:val="8"/>
      </w:numPr>
      <w:tabs>
        <w:tab w:val="clear" w:pos="4320"/>
        <w:tab w:val="num" w:pos="1404"/>
      </w:tabs>
      <w:ind w:left="1404" w:hanging="1584"/>
    </w:pPr>
  </w:style>
  <w:style w:type="paragraph" w:customStyle="1" w:styleId="Default">
    <w:name w:val="Default"/>
    <w:rsid w:val="00497E35"/>
    <w:pPr>
      <w:autoSpaceDE w:val="0"/>
      <w:autoSpaceDN w:val="0"/>
      <w:adjustRightInd w:val="0"/>
    </w:pPr>
    <w:rPr>
      <w:rFonts w:ascii="Segoe UI" w:hAnsi="Segoe UI" w:cs="Segoe UI"/>
      <w:color w:val="000000"/>
      <w:sz w:val="24"/>
      <w:szCs w:val="24"/>
      <w:lang w:val="en-ZA"/>
    </w:rPr>
  </w:style>
  <w:style w:type="character" w:customStyle="1" w:styleId="REBL3CharChar">
    <w:name w:val="REB_L3 Char Char"/>
    <w:link w:val="REBL3"/>
    <w:locked/>
    <w:rsid w:val="00243CD2"/>
    <w:rPr>
      <w:rFonts w:eastAsia="Times New Roman"/>
      <w:b/>
      <w:sz w:val="22"/>
      <w:lang w:eastAsia="en-US"/>
    </w:rPr>
  </w:style>
  <w:style w:type="character" w:customStyle="1" w:styleId="left">
    <w:name w:val="left"/>
    <w:basedOn w:val="DefaultParagraphFont"/>
    <w:rsid w:val="00B41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93510">
      <w:bodyDiv w:val="1"/>
      <w:marLeft w:val="0"/>
      <w:marRight w:val="0"/>
      <w:marTop w:val="0"/>
      <w:marBottom w:val="0"/>
      <w:divBdr>
        <w:top w:val="none" w:sz="0" w:space="0" w:color="auto"/>
        <w:left w:val="none" w:sz="0" w:space="0" w:color="auto"/>
        <w:bottom w:val="none" w:sz="0" w:space="0" w:color="auto"/>
        <w:right w:val="none" w:sz="0" w:space="0" w:color="auto"/>
      </w:divBdr>
    </w:div>
    <w:div w:id="352656241">
      <w:bodyDiv w:val="1"/>
      <w:marLeft w:val="0"/>
      <w:marRight w:val="0"/>
      <w:marTop w:val="0"/>
      <w:marBottom w:val="0"/>
      <w:divBdr>
        <w:top w:val="none" w:sz="0" w:space="0" w:color="auto"/>
        <w:left w:val="none" w:sz="0" w:space="0" w:color="auto"/>
        <w:bottom w:val="none" w:sz="0" w:space="0" w:color="auto"/>
        <w:right w:val="none" w:sz="0" w:space="0" w:color="auto"/>
      </w:divBdr>
    </w:div>
    <w:div w:id="413286970">
      <w:bodyDiv w:val="1"/>
      <w:marLeft w:val="0"/>
      <w:marRight w:val="0"/>
      <w:marTop w:val="0"/>
      <w:marBottom w:val="0"/>
      <w:divBdr>
        <w:top w:val="none" w:sz="0" w:space="0" w:color="auto"/>
        <w:left w:val="none" w:sz="0" w:space="0" w:color="auto"/>
        <w:bottom w:val="none" w:sz="0" w:space="0" w:color="auto"/>
        <w:right w:val="none" w:sz="0" w:space="0" w:color="auto"/>
      </w:divBdr>
    </w:div>
    <w:div w:id="489444180">
      <w:bodyDiv w:val="1"/>
      <w:marLeft w:val="0"/>
      <w:marRight w:val="0"/>
      <w:marTop w:val="0"/>
      <w:marBottom w:val="0"/>
      <w:divBdr>
        <w:top w:val="none" w:sz="0" w:space="0" w:color="auto"/>
        <w:left w:val="none" w:sz="0" w:space="0" w:color="auto"/>
        <w:bottom w:val="none" w:sz="0" w:space="0" w:color="auto"/>
        <w:right w:val="none" w:sz="0" w:space="0" w:color="auto"/>
      </w:divBdr>
    </w:div>
    <w:div w:id="552425664">
      <w:bodyDiv w:val="1"/>
      <w:marLeft w:val="0"/>
      <w:marRight w:val="0"/>
      <w:marTop w:val="0"/>
      <w:marBottom w:val="0"/>
      <w:divBdr>
        <w:top w:val="none" w:sz="0" w:space="0" w:color="auto"/>
        <w:left w:val="none" w:sz="0" w:space="0" w:color="auto"/>
        <w:bottom w:val="none" w:sz="0" w:space="0" w:color="auto"/>
        <w:right w:val="none" w:sz="0" w:space="0" w:color="auto"/>
      </w:divBdr>
    </w:div>
    <w:div w:id="582377180">
      <w:bodyDiv w:val="1"/>
      <w:marLeft w:val="0"/>
      <w:marRight w:val="0"/>
      <w:marTop w:val="0"/>
      <w:marBottom w:val="0"/>
      <w:divBdr>
        <w:top w:val="none" w:sz="0" w:space="0" w:color="auto"/>
        <w:left w:val="none" w:sz="0" w:space="0" w:color="auto"/>
        <w:bottom w:val="none" w:sz="0" w:space="0" w:color="auto"/>
        <w:right w:val="none" w:sz="0" w:space="0" w:color="auto"/>
      </w:divBdr>
    </w:div>
    <w:div w:id="582883645">
      <w:bodyDiv w:val="1"/>
      <w:marLeft w:val="0"/>
      <w:marRight w:val="0"/>
      <w:marTop w:val="0"/>
      <w:marBottom w:val="0"/>
      <w:divBdr>
        <w:top w:val="none" w:sz="0" w:space="0" w:color="auto"/>
        <w:left w:val="none" w:sz="0" w:space="0" w:color="auto"/>
        <w:bottom w:val="none" w:sz="0" w:space="0" w:color="auto"/>
        <w:right w:val="none" w:sz="0" w:space="0" w:color="auto"/>
      </w:divBdr>
    </w:div>
    <w:div w:id="657610927">
      <w:bodyDiv w:val="1"/>
      <w:marLeft w:val="0"/>
      <w:marRight w:val="0"/>
      <w:marTop w:val="0"/>
      <w:marBottom w:val="0"/>
      <w:divBdr>
        <w:top w:val="none" w:sz="0" w:space="0" w:color="auto"/>
        <w:left w:val="none" w:sz="0" w:space="0" w:color="auto"/>
        <w:bottom w:val="none" w:sz="0" w:space="0" w:color="auto"/>
        <w:right w:val="none" w:sz="0" w:space="0" w:color="auto"/>
      </w:divBdr>
    </w:div>
    <w:div w:id="714230701">
      <w:bodyDiv w:val="1"/>
      <w:marLeft w:val="0"/>
      <w:marRight w:val="0"/>
      <w:marTop w:val="0"/>
      <w:marBottom w:val="0"/>
      <w:divBdr>
        <w:top w:val="none" w:sz="0" w:space="0" w:color="auto"/>
        <w:left w:val="none" w:sz="0" w:space="0" w:color="auto"/>
        <w:bottom w:val="none" w:sz="0" w:space="0" w:color="auto"/>
        <w:right w:val="none" w:sz="0" w:space="0" w:color="auto"/>
      </w:divBdr>
    </w:div>
    <w:div w:id="828516027">
      <w:bodyDiv w:val="1"/>
      <w:marLeft w:val="0"/>
      <w:marRight w:val="0"/>
      <w:marTop w:val="0"/>
      <w:marBottom w:val="0"/>
      <w:divBdr>
        <w:top w:val="none" w:sz="0" w:space="0" w:color="auto"/>
        <w:left w:val="none" w:sz="0" w:space="0" w:color="auto"/>
        <w:bottom w:val="none" w:sz="0" w:space="0" w:color="auto"/>
        <w:right w:val="none" w:sz="0" w:space="0" w:color="auto"/>
      </w:divBdr>
    </w:div>
    <w:div w:id="852380607">
      <w:bodyDiv w:val="1"/>
      <w:marLeft w:val="0"/>
      <w:marRight w:val="0"/>
      <w:marTop w:val="0"/>
      <w:marBottom w:val="0"/>
      <w:divBdr>
        <w:top w:val="none" w:sz="0" w:space="0" w:color="auto"/>
        <w:left w:val="none" w:sz="0" w:space="0" w:color="auto"/>
        <w:bottom w:val="none" w:sz="0" w:space="0" w:color="auto"/>
        <w:right w:val="none" w:sz="0" w:space="0" w:color="auto"/>
      </w:divBdr>
      <w:divsChild>
        <w:div w:id="55007236">
          <w:marLeft w:val="0"/>
          <w:marRight w:val="0"/>
          <w:marTop w:val="0"/>
          <w:marBottom w:val="0"/>
          <w:divBdr>
            <w:top w:val="none" w:sz="0" w:space="0" w:color="auto"/>
            <w:left w:val="none" w:sz="0" w:space="0" w:color="auto"/>
            <w:bottom w:val="none" w:sz="0" w:space="0" w:color="auto"/>
            <w:right w:val="none" w:sz="0" w:space="0" w:color="auto"/>
          </w:divBdr>
        </w:div>
        <w:div w:id="430010269">
          <w:marLeft w:val="0"/>
          <w:marRight w:val="0"/>
          <w:marTop w:val="0"/>
          <w:marBottom w:val="0"/>
          <w:divBdr>
            <w:top w:val="none" w:sz="0" w:space="0" w:color="auto"/>
            <w:left w:val="none" w:sz="0" w:space="0" w:color="auto"/>
            <w:bottom w:val="none" w:sz="0" w:space="0" w:color="auto"/>
            <w:right w:val="none" w:sz="0" w:space="0" w:color="auto"/>
          </w:divBdr>
        </w:div>
        <w:div w:id="440302267">
          <w:marLeft w:val="0"/>
          <w:marRight w:val="0"/>
          <w:marTop w:val="0"/>
          <w:marBottom w:val="0"/>
          <w:divBdr>
            <w:top w:val="none" w:sz="0" w:space="0" w:color="auto"/>
            <w:left w:val="none" w:sz="0" w:space="0" w:color="auto"/>
            <w:bottom w:val="none" w:sz="0" w:space="0" w:color="auto"/>
            <w:right w:val="none" w:sz="0" w:space="0" w:color="auto"/>
          </w:divBdr>
        </w:div>
        <w:div w:id="710033306">
          <w:marLeft w:val="0"/>
          <w:marRight w:val="0"/>
          <w:marTop w:val="0"/>
          <w:marBottom w:val="0"/>
          <w:divBdr>
            <w:top w:val="none" w:sz="0" w:space="0" w:color="auto"/>
            <w:left w:val="none" w:sz="0" w:space="0" w:color="auto"/>
            <w:bottom w:val="none" w:sz="0" w:space="0" w:color="auto"/>
            <w:right w:val="none" w:sz="0" w:space="0" w:color="auto"/>
          </w:divBdr>
        </w:div>
        <w:div w:id="772631600">
          <w:marLeft w:val="0"/>
          <w:marRight w:val="0"/>
          <w:marTop w:val="0"/>
          <w:marBottom w:val="0"/>
          <w:divBdr>
            <w:top w:val="none" w:sz="0" w:space="0" w:color="auto"/>
            <w:left w:val="none" w:sz="0" w:space="0" w:color="auto"/>
            <w:bottom w:val="none" w:sz="0" w:space="0" w:color="auto"/>
            <w:right w:val="none" w:sz="0" w:space="0" w:color="auto"/>
          </w:divBdr>
        </w:div>
        <w:div w:id="917592901">
          <w:marLeft w:val="0"/>
          <w:marRight w:val="0"/>
          <w:marTop w:val="0"/>
          <w:marBottom w:val="0"/>
          <w:divBdr>
            <w:top w:val="none" w:sz="0" w:space="0" w:color="auto"/>
            <w:left w:val="none" w:sz="0" w:space="0" w:color="auto"/>
            <w:bottom w:val="none" w:sz="0" w:space="0" w:color="auto"/>
            <w:right w:val="none" w:sz="0" w:space="0" w:color="auto"/>
          </w:divBdr>
        </w:div>
        <w:div w:id="989403522">
          <w:marLeft w:val="0"/>
          <w:marRight w:val="0"/>
          <w:marTop w:val="0"/>
          <w:marBottom w:val="0"/>
          <w:divBdr>
            <w:top w:val="none" w:sz="0" w:space="0" w:color="auto"/>
            <w:left w:val="none" w:sz="0" w:space="0" w:color="auto"/>
            <w:bottom w:val="none" w:sz="0" w:space="0" w:color="auto"/>
            <w:right w:val="none" w:sz="0" w:space="0" w:color="auto"/>
          </w:divBdr>
        </w:div>
        <w:div w:id="1051926487">
          <w:marLeft w:val="0"/>
          <w:marRight w:val="0"/>
          <w:marTop w:val="0"/>
          <w:marBottom w:val="0"/>
          <w:divBdr>
            <w:top w:val="none" w:sz="0" w:space="0" w:color="auto"/>
            <w:left w:val="none" w:sz="0" w:space="0" w:color="auto"/>
            <w:bottom w:val="none" w:sz="0" w:space="0" w:color="auto"/>
            <w:right w:val="none" w:sz="0" w:space="0" w:color="auto"/>
          </w:divBdr>
        </w:div>
        <w:div w:id="1189640804">
          <w:marLeft w:val="0"/>
          <w:marRight w:val="0"/>
          <w:marTop w:val="0"/>
          <w:marBottom w:val="0"/>
          <w:divBdr>
            <w:top w:val="none" w:sz="0" w:space="0" w:color="auto"/>
            <w:left w:val="none" w:sz="0" w:space="0" w:color="auto"/>
            <w:bottom w:val="none" w:sz="0" w:space="0" w:color="auto"/>
            <w:right w:val="none" w:sz="0" w:space="0" w:color="auto"/>
          </w:divBdr>
        </w:div>
        <w:div w:id="1943292641">
          <w:marLeft w:val="0"/>
          <w:marRight w:val="0"/>
          <w:marTop w:val="0"/>
          <w:marBottom w:val="0"/>
          <w:divBdr>
            <w:top w:val="none" w:sz="0" w:space="0" w:color="auto"/>
            <w:left w:val="none" w:sz="0" w:space="0" w:color="auto"/>
            <w:bottom w:val="none" w:sz="0" w:space="0" w:color="auto"/>
            <w:right w:val="none" w:sz="0" w:space="0" w:color="auto"/>
          </w:divBdr>
        </w:div>
        <w:div w:id="1955626037">
          <w:marLeft w:val="0"/>
          <w:marRight w:val="0"/>
          <w:marTop w:val="0"/>
          <w:marBottom w:val="0"/>
          <w:divBdr>
            <w:top w:val="none" w:sz="0" w:space="0" w:color="auto"/>
            <w:left w:val="none" w:sz="0" w:space="0" w:color="auto"/>
            <w:bottom w:val="none" w:sz="0" w:space="0" w:color="auto"/>
            <w:right w:val="none" w:sz="0" w:space="0" w:color="auto"/>
          </w:divBdr>
        </w:div>
        <w:div w:id="2035576687">
          <w:marLeft w:val="0"/>
          <w:marRight w:val="0"/>
          <w:marTop w:val="0"/>
          <w:marBottom w:val="0"/>
          <w:divBdr>
            <w:top w:val="none" w:sz="0" w:space="0" w:color="auto"/>
            <w:left w:val="none" w:sz="0" w:space="0" w:color="auto"/>
            <w:bottom w:val="none" w:sz="0" w:space="0" w:color="auto"/>
            <w:right w:val="none" w:sz="0" w:space="0" w:color="auto"/>
          </w:divBdr>
        </w:div>
        <w:div w:id="2085831549">
          <w:marLeft w:val="0"/>
          <w:marRight w:val="0"/>
          <w:marTop w:val="0"/>
          <w:marBottom w:val="0"/>
          <w:divBdr>
            <w:top w:val="none" w:sz="0" w:space="0" w:color="auto"/>
            <w:left w:val="none" w:sz="0" w:space="0" w:color="auto"/>
            <w:bottom w:val="none" w:sz="0" w:space="0" w:color="auto"/>
            <w:right w:val="none" w:sz="0" w:space="0" w:color="auto"/>
          </w:divBdr>
        </w:div>
        <w:div w:id="2094737167">
          <w:marLeft w:val="0"/>
          <w:marRight w:val="0"/>
          <w:marTop w:val="0"/>
          <w:marBottom w:val="0"/>
          <w:divBdr>
            <w:top w:val="none" w:sz="0" w:space="0" w:color="auto"/>
            <w:left w:val="none" w:sz="0" w:space="0" w:color="auto"/>
            <w:bottom w:val="none" w:sz="0" w:space="0" w:color="auto"/>
            <w:right w:val="none" w:sz="0" w:space="0" w:color="auto"/>
          </w:divBdr>
        </w:div>
      </w:divsChild>
    </w:div>
    <w:div w:id="863396573">
      <w:bodyDiv w:val="1"/>
      <w:marLeft w:val="0"/>
      <w:marRight w:val="0"/>
      <w:marTop w:val="0"/>
      <w:marBottom w:val="0"/>
      <w:divBdr>
        <w:top w:val="none" w:sz="0" w:space="0" w:color="auto"/>
        <w:left w:val="none" w:sz="0" w:space="0" w:color="auto"/>
        <w:bottom w:val="none" w:sz="0" w:space="0" w:color="auto"/>
        <w:right w:val="none" w:sz="0" w:space="0" w:color="auto"/>
      </w:divBdr>
    </w:div>
    <w:div w:id="908811198">
      <w:bodyDiv w:val="1"/>
      <w:marLeft w:val="0"/>
      <w:marRight w:val="0"/>
      <w:marTop w:val="0"/>
      <w:marBottom w:val="0"/>
      <w:divBdr>
        <w:top w:val="none" w:sz="0" w:space="0" w:color="auto"/>
        <w:left w:val="none" w:sz="0" w:space="0" w:color="auto"/>
        <w:bottom w:val="none" w:sz="0" w:space="0" w:color="auto"/>
        <w:right w:val="none" w:sz="0" w:space="0" w:color="auto"/>
      </w:divBdr>
    </w:div>
    <w:div w:id="934820788">
      <w:bodyDiv w:val="1"/>
      <w:marLeft w:val="0"/>
      <w:marRight w:val="0"/>
      <w:marTop w:val="0"/>
      <w:marBottom w:val="0"/>
      <w:divBdr>
        <w:top w:val="none" w:sz="0" w:space="0" w:color="auto"/>
        <w:left w:val="none" w:sz="0" w:space="0" w:color="auto"/>
        <w:bottom w:val="none" w:sz="0" w:space="0" w:color="auto"/>
        <w:right w:val="none" w:sz="0" w:space="0" w:color="auto"/>
      </w:divBdr>
    </w:div>
    <w:div w:id="1041828520">
      <w:bodyDiv w:val="1"/>
      <w:marLeft w:val="0"/>
      <w:marRight w:val="0"/>
      <w:marTop w:val="0"/>
      <w:marBottom w:val="0"/>
      <w:divBdr>
        <w:top w:val="none" w:sz="0" w:space="0" w:color="auto"/>
        <w:left w:val="none" w:sz="0" w:space="0" w:color="auto"/>
        <w:bottom w:val="none" w:sz="0" w:space="0" w:color="auto"/>
        <w:right w:val="none" w:sz="0" w:space="0" w:color="auto"/>
      </w:divBdr>
    </w:div>
    <w:div w:id="1054155641">
      <w:bodyDiv w:val="1"/>
      <w:marLeft w:val="0"/>
      <w:marRight w:val="0"/>
      <w:marTop w:val="0"/>
      <w:marBottom w:val="0"/>
      <w:divBdr>
        <w:top w:val="none" w:sz="0" w:space="0" w:color="auto"/>
        <w:left w:val="none" w:sz="0" w:space="0" w:color="auto"/>
        <w:bottom w:val="none" w:sz="0" w:space="0" w:color="auto"/>
        <w:right w:val="none" w:sz="0" w:space="0" w:color="auto"/>
      </w:divBdr>
    </w:div>
    <w:div w:id="1115758287">
      <w:bodyDiv w:val="1"/>
      <w:marLeft w:val="0"/>
      <w:marRight w:val="0"/>
      <w:marTop w:val="0"/>
      <w:marBottom w:val="0"/>
      <w:divBdr>
        <w:top w:val="none" w:sz="0" w:space="0" w:color="auto"/>
        <w:left w:val="none" w:sz="0" w:space="0" w:color="auto"/>
        <w:bottom w:val="none" w:sz="0" w:space="0" w:color="auto"/>
        <w:right w:val="none" w:sz="0" w:space="0" w:color="auto"/>
      </w:divBdr>
    </w:div>
    <w:div w:id="1245918248">
      <w:bodyDiv w:val="1"/>
      <w:marLeft w:val="0"/>
      <w:marRight w:val="0"/>
      <w:marTop w:val="0"/>
      <w:marBottom w:val="0"/>
      <w:divBdr>
        <w:top w:val="none" w:sz="0" w:space="0" w:color="auto"/>
        <w:left w:val="none" w:sz="0" w:space="0" w:color="auto"/>
        <w:bottom w:val="none" w:sz="0" w:space="0" w:color="auto"/>
        <w:right w:val="none" w:sz="0" w:space="0" w:color="auto"/>
      </w:divBdr>
      <w:divsChild>
        <w:div w:id="30960064">
          <w:marLeft w:val="0"/>
          <w:marRight w:val="0"/>
          <w:marTop w:val="0"/>
          <w:marBottom w:val="0"/>
          <w:divBdr>
            <w:top w:val="none" w:sz="0" w:space="0" w:color="auto"/>
            <w:left w:val="none" w:sz="0" w:space="0" w:color="auto"/>
            <w:bottom w:val="none" w:sz="0" w:space="0" w:color="auto"/>
            <w:right w:val="none" w:sz="0" w:space="0" w:color="auto"/>
          </w:divBdr>
        </w:div>
        <w:div w:id="43724954">
          <w:marLeft w:val="0"/>
          <w:marRight w:val="0"/>
          <w:marTop w:val="0"/>
          <w:marBottom w:val="0"/>
          <w:divBdr>
            <w:top w:val="none" w:sz="0" w:space="0" w:color="auto"/>
            <w:left w:val="none" w:sz="0" w:space="0" w:color="auto"/>
            <w:bottom w:val="none" w:sz="0" w:space="0" w:color="auto"/>
            <w:right w:val="none" w:sz="0" w:space="0" w:color="auto"/>
          </w:divBdr>
        </w:div>
        <w:div w:id="58408612">
          <w:marLeft w:val="0"/>
          <w:marRight w:val="0"/>
          <w:marTop w:val="0"/>
          <w:marBottom w:val="0"/>
          <w:divBdr>
            <w:top w:val="none" w:sz="0" w:space="0" w:color="auto"/>
            <w:left w:val="none" w:sz="0" w:space="0" w:color="auto"/>
            <w:bottom w:val="none" w:sz="0" w:space="0" w:color="auto"/>
            <w:right w:val="none" w:sz="0" w:space="0" w:color="auto"/>
          </w:divBdr>
        </w:div>
        <w:div w:id="102698787">
          <w:marLeft w:val="0"/>
          <w:marRight w:val="0"/>
          <w:marTop w:val="0"/>
          <w:marBottom w:val="0"/>
          <w:divBdr>
            <w:top w:val="none" w:sz="0" w:space="0" w:color="auto"/>
            <w:left w:val="none" w:sz="0" w:space="0" w:color="auto"/>
            <w:bottom w:val="none" w:sz="0" w:space="0" w:color="auto"/>
            <w:right w:val="none" w:sz="0" w:space="0" w:color="auto"/>
          </w:divBdr>
        </w:div>
        <w:div w:id="106001731">
          <w:marLeft w:val="0"/>
          <w:marRight w:val="0"/>
          <w:marTop w:val="0"/>
          <w:marBottom w:val="0"/>
          <w:divBdr>
            <w:top w:val="none" w:sz="0" w:space="0" w:color="auto"/>
            <w:left w:val="none" w:sz="0" w:space="0" w:color="auto"/>
            <w:bottom w:val="none" w:sz="0" w:space="0" w:color="auto"/>
            <w:right w:val="none" w:sz="0" w:space="0" w:color="auto"/>
          </w:divBdr>
        </w:div>
        <w:div w:id="119155781">
          <w:marLeft w:val="0"/>
          <w:marRight w:val="0"/>
          <w:marTop w:val="0"/>
          <w:marBottom w:val="0"/>
          <w:divBdr>
            <w:top w:val="none" w:sz="0" w:space="0" w:color="auto"/>
            <w:left w:val="none" w:sz="0" w:space="0" w:color="auto"/>
            <w:bottom w:val="none" w:sz="0" w:space="0" w:color="auto"/>
            <w:right w:val="none" w:sz="0" w:space="0" w:color="auto"/>
          </w:divBdr>
        </w:div>
        <w:div w:id="192112563">
          <w:marLeft w:val="0"/>
          <w:marRight w:val="0"/>
          <w:marTop w:val="0"/>
          <w:marBottom w:val="0"/>
          <w:divBdr>
            <w:top w:val="none" w:sz="0" w:space="0" w:color="auto"/>
            <w:left w:val="none" w:sz="0" w:space="0" w:color="auto"/>
            <w:bottom w:val="none" w:sz="0" w:space="0" w:color="auto"/>
            <w:right w:val="none" w:sz="0" w:space="0" w:color="auto"/>
          </w:divBdr>
        </w:div>
        <w:div w:id="234435001">
          <w:marLeft w:val="0"/>
          <w:marRight w:val="0"/>
          <w:marTop w:val="0"/>
          <w:marBottom w:val="0"/>
          <w:divBdr>
            <w:top w:val="none" w:sz="0" w:space="0" w:color="auto"/>
            <w:left w:val="none" w:sz="0" w:space="0" w:color="auto"/>
            <w:bottom w:val="none" w:sz="0" w:space="0" w:color="auto"/>
            <w:right w:val="none" w:sz="0" w:space="0" w:color="auto"/>
          </w:divBdr>
        </w:div>
        <w:div w:id="237634128">
          <w:marLeft w:val="0"/>
          <w:marRight w:val="0"/>
          <w:marTop w:val="0"/>
          <w:marBottom w:val="0"/>
          <w:divBdr>
            <w:top w:val="none" w:sz="0" w:space="0" w:color="auto"/>
            <w:left w:val="none" w:sz="0" w:space="0" w:color="auto"/>
            <w:bottom w:val="none" w:sz="0" w:space="0" w:color="auto"/>
            <w:right w:val="none" w:sz="0" w:space="0" w:color="auto"/>
          </w:divBdr>
        </w:div>
        <w:div w:id="242222551">
          <w:marLeft w:val="0"/>
          <w:marRight w:val="0"/>
          <w:marTop w:val="0"/>
          <w:marBottom w:val="0"/>
          <w:divBdr>
            <w:top w:val="none" w:sz="0" w:space="0" w:color="auto"/>
            <w:left w:val="none" w:sz="0" w:space="0" w:color="auto"/>
            <w:bottom w:val="none" w:sz="0" w:space="0" w:color="auto"/>
            <w:right w:val="none" w:sz="0" w:space="0" w:color="auto"/>
          </w:divBdr>
        </w:div>
        <w:div w:id="264309344">
          <w:marLeft w:val="0"/>
          <w:marRight w:val="0"/>
          <w:marTop w:val="0"/>
          <w:marBottom w:val="0"/>
          <w:divBdr>
            <w:top w:val="none" w:sz="0" w:space="0" w:color="auto"/>
            <w:left w:val="none" w:sz="0" w:space="0" w:color="auto"/>
            <w:bottom w:val="none" w:sz="0" w:space="0" w:color="auto"/>
            <w:right w:val="none" w:sz="0" w:space="0" w:color="auto"/>
          </w:divBdr>
        </w:div>
        <w:div w:id="282806902">
          <w:marLeft w:val="0"/>
          <w:marRight w:val="0"/>
          <w:marTop w:val="0"/>
          <w:marBottom w:val="0"/>
          <w:divBdr>
            <w:top w:val="none" w:sz="0" w:space="0" w:color="auto"/>
            <w:left w:val="none" w:sz="0" w:space="0" w:color="auto"/>
            <w:bottom w:val="none" w:sz="0" w:space="0" w:color="auto"/>
            <w:right w:val="none" w:sz="0" w:space="0" w:color="auto"/>
          </w:divBdr>
        </w:div>
        <w:div w:id="283780856">
          <w:marLeft w:val="0"/>
          <w:marRight w:val="0"/>
          <w:marTop w:val="0"/>
          <w:marBottom w:val="0"/>
          <w:divBdr>
            <w:top w:val="none" w:sz="0" w:space="0" w:color="auto"/>
            <w:left w:val="none" w:sz="0" w:space="0" w:color="auto"/>
            <w:bottom w:val="none" w:sz="0" w:space="0" w:color="auto"/>
            <w:right w:val="none" w:sz="0" w:space="0" w:color="auto"/>
          </w:divBdr>
        </w:div>
        <w:div w:id="293799705">
          <w:marLeft w:val="0"/>
          <w:marRight w:val="0"/>
          <w:marTop w:val="0"/>
          <w:marBottom w:val="0"/>
          <w:divBdr>
            <w:top w:val="none" w:sz="0" w:space="0" w:color="auto"/>
            <w:left w:val="none" w:sz="0" w:space="0" w:color="auto"/>
            <w:bottom w:val="none" w:sz="0" w:space="0" w:color="auto"/>
            <w:right w:val="none" w:sz="0" w:space="0" w:color="auto"/>
          </w:divBdr>
        </w:div>
        <w:div w:id="294259019">
          <w:marLeft w:val="0"/>
          <w:marRight w:val="0"/>
          <w:marTop w:val="0"/>
          <w:marBottom w:val="0"/>
          <w:divBdr>
            <w:top w:val="none" w:sz="0" w:space="0" w:color="auto"/>
            <w:left w:val="none" w:sz="0" w:space="0" w:color="auto"/>
            <w:bottom w:val="none" w:sz="0" w:space="0" w:color="auto"/>
            <w:right w:val="none" w:sz="0" w:space="0" w:color="auto"/>
          </w:divBdr>
        </w:div>
        <w:div w:id="314451864">
          <w:marLeft w:val="0"/>
          <w:marRight w:val="0"/>
          <w:marTop w:val="0"/>
          <w:marBottom w:val="0"/>
          <w:divBdr>
            <w:top w:val="none" w:sz="0" w:space="0" w:color="auto"/>
            <w:left w:val="none" w:sz="0" w:space="0" w:color="auto"/>
            <w:bottom w:val="none" w:sz="0" w:space="0" w:color="auto"/>
            <w:right w:val="none" w:sz="0" w:space="0" w:color="auto"/>
          </w:divBdr>
        </w:div>
        <w:div w:id="329719292">
          <w:marLeft w:val="0"/>
          <w:marRight w:val="0"/>
          <w:marTop w:val="0"/>
          <w:marBottom w:val="0"/>
          <w:divBdr>
            <w:top w:val="none" w:sz="0" w:space="0" w:color="auto"/>
            <w:left w:val="none" w:sz="0" w:space="0" w:color="auto"/>
            <w:bottom w:val="none" w:sz="0" w:space="0" w:color="auto"/>
            <w:right w:val="none" w:sz="0" w:space="0" w:color="auto"/>
          </w:divBdr>
        </w:div>
        <w:div w:id="459764765">
          <w:marLeft w:val="0"/>
          <w:marRight w:val="0"/>
          <w:marTop w:val="0"/>
          <w:marBottom w:val="0"/>
          <w:divBdr>
            <w:top w:val="none" w:sz="0" w:space="0" w:color="auto"/>
            <w:left w:val="none" w:sz="0" w:space="0" w:color="auto"/>
            <w:bottom w:val="none" w:sz="0" w:space="0" w:color="auto"/>
            <w:right w:val="none" w:sz="0" w:space="0" w:color="auto"/>
          </w:divBdr>
        </w:div>
        <w:div w:id="468518678">
          <w:marLeft w:val="0"/>
          <w:marRight w:val="0"/>
          <w:marTop w:val="0"/>
          <w:marBottom w:val="0"/>
          <w:divBdr>
            <w:top w:val="none" w:sz="0" w:space="0" w:color="auto"/>
            <w:left w:val="none" w:sz="0" w:space="0" w:color="auto"/>
            <w:bottom w:val="none" w:sz="0" w:space="0" w:color="auto"/>
            <w:right w:val="none" w:sz="0" w:space="0" w:color="auto"/>
          </w:divBdr>
        </w:div>
        <w:div w:id="490487812">
          <w:marLeft w:val="0"/>
          <w:marRight w:val="0"/>
          <w:marTop w:val="0"/>
          <w:marBottom w:val="0"/>
          <w:divBdr>
            <w:top w:val="none" w:sz="0" w:space="0" w:color="auto"/>
            <w:left w:val="none" w:sz="0" w:space="0" w:color="auto"/>
            <w:bottom w:val="none" w:sz="0" w:space="0" w:color="auto"/>
            <w:right w:val="none" w:sz="0" w:space="0" w:color="auto"/>
          </w:divBdr>
        </w:div>
        <w:div w:id="505559860">
          <w:marLeft w:val="0"/>
          <w:marRight w:val="0"/>
          <w:marTop w:val="0"/>
          <w:marBottom w:val="0"/>
          <w:divBdr>
            <w:top w:val="none" w:sz="0" w:space="0" w:color="auto"/>
            <w:left w:val="none" w:sz="0" w:space="0" w:color="auto"/>
            <w:bottom w:val="none" w:sz="0" w:space="0" w:color="auto"/>
            <w:right w:val="none" w:sz="0" w:space="0" w:color="auto"/>
          </w:divBdr>
        </w:div>
        <w:div w:id="585504414">
          <w:marLeft w:val="0"/>
          <w:marRight w:val="0"/>
          <w:marTop w:val="0"/>
          <w:marBottom w:val="0"/>
          <w:divBdr>
            <w:top w:val="none" w:sz="0" w:space="0" w:color="auto"/>
            <w:left w:val="none" w:sz="0" w:space="0" w:color="auto"/>
            <w:bottom w:val="none" w:sz="0" w:space="0" w:color="auto"/>
            <w:right w:val="none" w:sz="0" w:space="0" w:color="auto"/>
          </w:divBdr>
        </w:div>
        <w:div w:id="672532047">
          <w:marLeft w:val="0"/>
          <w:marRight w:val="0"/>
          <w:marTop w:val="0"/>
          <w:marBottom w:val="0"/>
          <w:divBdr>
            <w:top w:val="none" w:sz="0" w:space="0" w:color="auto"/>
            <w:left w:val="none" w:sz="0" w:space="0" w:color="auto"/>
            <w:bottom w:val="none" w:sz="0" w:space="0" w:color="auto"/>
            <w:right w:val="none" w:sz="0" w:space="0" w:color="auto"/>
          </w:divBdr>
        </w:div>
        <w:div w:id="717819880">
          <w:marLeft w:val="0"/>
          <w:marRight w:val="0"/>
          <w:marTop w:val="0"/>
          <w:marBottom w:val="0"/>
          <w:divBdr>
            <w:top w:val="none" w:sz="0" w:space="0" w:color="auto"/>
            <w:left w:val="none" w:sz="0" w:space="0" w:color="auto"/>
            <w:bottom w:val="none" w:sz="0" w:space="0" w:color="auto"/>
            <w:right w:val="none" w:sz="0" w:space="0" w:color="auto"/>
          </w:divBdr>
        </w:div>
        <w:div w:id="763919031">
          <w:marLeft w:val="0"/>
          <w:marRight w:val="0"/>
          <w:marTop w:val="0"/>
          <w:marBottom w:val="0"/>
          <w:divBdr>
            <w:top w:val="none" w:sz="0" w:space="0" w:color="auto"/>
            <w:left w:val="none" w:sz="0" w:space="0" w:color="auto"/>
            <w:bottom w:val="none" w:sz="0" w:space="0" w:color="auto"/>
            <w:right w:val="none" w:sz="0" w:space="0" w:color="auto"/>
          </w:divBdr>
        </w:div>
        <w:div w:id="780344476">
          <w:marLeft w:val="0"/>
          <w:marRight w:val="0"/>
          <w:marTop w:val="0"/>
          <w:marBottom w:val="0"/>
          <w:divBdr>
            <w:top w:val="none" w:sz="0" w:space="0" w:color="auto"/>
            <w:left w:val="none" w:sz="0" w:space="0" w:color="auto"/>
            <w:bottom w:val="none" w:sz="0" w:space="0" w:color="auto"/>
            <w:right w:val="none" w:sz="0" w:space="0" w:color="auto"/>
          </w:divBdr>
        </w:div>
        <w:div w:id="786311601">
          <w:marLeft w:val="0"/>
          <w:marRight w:val="0"/>
          <w:marTop w:val="0"/>
          <w:marBottom w:val="0"/>
          <w:divBdr>
            <w:top w:val="none" w:sz="0" w:space="0" w:color="auto"/>
            <w:left w:val="none" w:sz="0" w:space="0" w:color="auto"/>
            <w:bottom w:val="none" w:sz="0" w:space="0" w:color="auto"/>
            <w:right w:val="none" w:sz="0" w:space="0" w:color="auto"/>
          </w:divBdr>
        </w:div>
        <w:div w:id="797798074">
          <w:marLeft w:val="0"/>
          <w:marRight w:val="0"/>
          <w:marTop w:val="0"/>
          <w:marBottom w:val="0"/>
          <w:divBdr>
            <w:top w:val="none" w:sz="0" w:space="0" w:color="auto"/>
            <w:left w:val="none" w:sz="0" w:space="0" w:color="auto"/>
            <w:bottom w:val="none" w:sz="0" w:space="0" w:color="auto"/>
            <w:right w:val="none" w:sz="0" w:space="0" w:color="auto"/>
          </w:divBdr>
        </w:div>
        <w:div w:id="810247525">
          <w:marLeft w:val="0"/>
          <w:marRight w:val="0"/>
          <w:marTop w:val="0"/>
          <w:marBottom w:val="0"/>
          <w:divBdr>
            <w:top w:val="none" w:sz="0" w:space="0" w:color="auto"/>
            <w:left w:val="none" w:sz="0" w:space="0" w:color="auto"/>
            <w:bottom w:val="none" w:sz="0" w:space="0" w:color="auto"/>
            <w:right w:val="none" w:sz="0" w:space="0" w:color="auto"/>
          </w:divBdr>
        </w:div>
        <w:div w:id="835919141">
          <w:marLeft w:val="0"/>
          <w:marRight w:val="0"/>
          <w:marTop w:val="0"/>
          <w:marBottom w:val="0"/>
          <w:divBdr>
            <w:top w:val="none" w:sz="0" w:space="0" w:color="auto"/>
            <w:left w:val="none" w:sz="0" w:space="0" w:color="auto"/>
            <w:bottom w:val="none" w:sz="0" w:space="0" w:color="auto"/>
            <w:right w:val="none" w:sz="0" w:space="0" w:color="auto"/>
          </w:divBdr>
        </w:div>
        <w:div w:id="849951711">
          <w:marLeft w:val="0"/>
          <w:marRight w:val="0"/>
          <w:marTop w:val="0"/>
          <w:marBottom w:val="0"/>
          <w:divBdr>
            <w:top w:val="none" w:sz="0" w:space="0" w:color="auto"/>
            <w:left w:val="none" w:sz="0" w:space="0" w:color="auto"/>
            <w:bottom w:val="none" w:sz="0" w:space="0" w:color="auto"/>
            <w:right w:val="none" w:sz="0" w:space="0" w:color="auto"/>
          </w:divBdr>
        </w:div>
        <w:div w:id="858616969">
          <w:marLeft w:val="0"/>
          <w:marRight w:val="0"/>
          <w:marTop w:val="0"/>
          <w:marBottom w:val="0"/>
          <w:divBdr>
            <w:top w:val="none" w:sz="0" w:space="0" w:color="auto"/>
            <w:left w:val="none" w:sz="0" w:space="0" w:color="auto"/>
            <w:bottom w:val="none" w:sz="0" w:space="0" w:color="auto"/>
            <w:right w:val="none" w:sz="0" w:space="0" w:color="auto"/>
          </w:divBdr>
        </w:div>
        <w:div w:id="892616481">
          <w:marLeft w:val="0"/>
          <w:marRight w:val="0"/>
          <w:marTop w:val="0"/>
          <w:marBottom w:val="0"/>
          <w:divBdr>
            <w:top w:val="none" w:sz="0" w:space="0" w:color="auto"/>
            <w:left w:val="none" w:sz="0" w:space="0" w:color="auto"/>
            <w:bottom w:val="none" w:sz="0" w:space="0" w:color="auto"/>
            <w:right w:val="none" w:sz="0" w:space="0" w:color="auto"/>
          </w:divBdr>
        </w:div>
        <w:div w:id="914818724">
          <w:marLeft w:val="0"/>
          <w:marRight w:val="0"/>
          <w:marTop w:val="0"/>
          <w:marBottom w:val="0"/>
          <w:divBdr>
            <w:top w:val="none" w:sz="0" w:space="0" w:color="auto"/>
            <w:left w:val="none" w:sz="0" w:space="0" w:color="auto"/>
            <w:bottom w:val="none" w:sz="0" w:space="0" w:color="auto"/>
            <w:right w:val="none" w:sz="0" w:space="0" w:color="auto"/>
          </w:divBdr>
        </w:div>
        <w:div w:id="929387030">
          <w:marLeft w:val="0"/>
          <w:marRight w:val="0"/>
          <w:marTop w:val="0"/>
          <w:marBottom w:val="0"/>
          <w:divBdr>
            <w:top w:val="none" w:sz="0" w:space="0" w:color="auto"/>
            <w:left w:val="none" w:sz="0" w:space="0" w:color="auto"/>
            <w:bottom w:val="none" w:sz="0" w:space="0" w:color="auto"/>
            <w:right w:val="none" w:sz="0" w:space="0" w:color="auto"/>
          </w:divBdr>
        </w:div>
        <w:div w:id="943926675">
          <w:marLeft w:val="0"/>
          <w:marRight w:val="0"/>
          <w:marTop w:val="0"/>
          <w:marBottom w:val="0"/>
          <w:divBdr>
            <w:top w:val="none" w:sz="0" w:space="0" w:color="auto"/>
            <w:left w:val="none" w:sz="0" w:space="0" w:color="auto"/>
            <w:bottom w:val="none" w:sz="0" w:space="0" w:color="auto"/>
            <w:right w:val="none" w:sz="0" w:space="0" w:color="auto"/>
          </w:divBdr>
        </w:div>
        <w:div w:id="1071002839">
          <w:marLeft w:val="0"/>
          <w:marRight w:val="0"/>
          <w:marTop w:val="0"/>
          <w:marBottom w:val="0"/>
          <w:divBdr>
            <w:top w:val="none" w:sz="0" w:space="0" w:color="auto"/>
            <w:left w:val="none" w:sz="0" w:space="0" w:color="auto"/>
            <w:bottom w:val="none" w:sz="0" w:space="0" w:color="auto"/>
            <w:right w:val="none" w:sz="0" w:space="0" w:color="auto"/>
          </w:divBdr>
        </w:div>
        <w:div w:id="1078138975">
          <w:marLeft w:val="0"/>
          <w:marRight w:val="0"/>
          <w:marTop w:val="0"/>
          <w:marBottom w:val="0"/>
          <w:divBdr>
            <w:top w:val="none" w:sz="0" w:space="0" w:color="auto"/>
            <w:left w:val="none" w:sz="0" w:space="0" w:color="auto"/>
            <w:bottom w:val="none" w:sz="0" w:space="0" w:color="auto"/>
            <w:right w:val="none" w:sz="0" w:space="0" w:color="auto"/>
          </w:divBdr>
        </w:div>
        <w:div w:id="1112213533">
          <w:marLeft w:val="0"/>
          <w:marRight w:val="0"/>
          <w:marTop w:val="0"/>
          <w:marBottom w:val="0"/>
          <w:divBdr>
            <w:top w:val="none" w:sz="0" w:space="0" w:color="auto"/>
            <w:left w:val="none" w:sz="0" w:space="0" w:color="auto"/>
            <w:bottom w:val="none" w:sz="0" w:space="0" w:color="auto"/>
            <w:right w:val="none" w:sz="0" w:space="0" w:color="auto"/>
          </w:divBdr>
        </w:div>
        <w:div w:id="1156842713">
          <w:marLeft w:val="0"/>
          <w:marRight w:val="0"/>
          <w:marTop w:val="0"/>
          <w:marBottom w:val="0"/>
          <w:divBdr>
            <w:top w:val="none" w:sz="0" w:space="0" w:color="auto"/>
            <w:left w:val="none" w:sz="0" w:space="0" w:color="auto"/>
            <w:bottom w:val="none" w:sz="0" w:space="0" w:color="auto"/>
            <w:right w:val="none" w:sz="0" w:space="0" w:color="auto"/>
          </w:divBdr>
        </w:div>
        <w:div w:id="1250768868">
          <w:marLeft w:val="0"/>
          <w:marRight w:val="0"/>
          <w:marTop w:val="0"/>
          <w:marBottom w:val="0"/>
          <w:divBdr>
            <w:top w:val="none" w:sz="0" w:space="0" w:color="auto"/>
            <w:left w:val="none" w:sz="0" w:space="0" w:color="auto"/>
            <w:bottom w:val="none" w:sz="0" w:space="0" w:color="auto"/>
            <w:right w:val="none" w:sz="0" w:space="0" w:color="auto"/>
          </w:divBdr>
        </w:div>
        <w:div w:id="1299998045">
          <w:marLeft w:val="0"/>
          <w:marRight w:val="0"/>
          <w:marTop w:val="0"/>
          <w:marBottom w:val="0"/>
          <w:divBdr>
            <w:top w:val="none" w:sz="0" w:space="0" w:color="auto"/>
            <w:left w:val="none" w:sz="0" w:space="0" w:color="auto"/>
            <w:bottom w:val="none" w:sz="0" w:space="0" w:color="auto"/>
            <w:right w:val="none" w:sz="0" w:space="0" w:color="auto"/>
          </w:divBdr>
        </w:div>
        <w:div w:id="1318729370">
          <w:marLeft w:val="0"/>
          <w:marRight w:val="0"/>
          <w:marTop w:val="0"/>
          <w:marBottom w:val="0"/>
          <w:divBdr>
            <w:top w:val="none" w:sz="0" w:space="0" w:color="auto"/>
            <w:left w:val="none" w:sz="0" w:space="0" w:color="auto"/>
            <w:bottom w:val="none" w:sz="0" w:space="0" w:color="auto"/>
            <w:right w:val="none" w:sz="0" w:space="0" w:color="auto"/>
          </w:divBdr>
        </w:div>
        <w:div w:id="1372070724">
          <w:marLeft w:val="0"/>
          <w:marRight w:val="0"/>
          <w:marTop w:val="0"/>
          <w:marBottom w:val="0"/>
          <w:divBdr>
            <w:top w:val="none" w:sz="0" w:space="0" w:color="auto"/>
            <w:left w:val="none" w:sz="0" w:space="0" w:color="auto"/>
            <w:bottom w:val="none" w:sz="0" w:space="0" w:color="auto"/>
            <w:right w:val="none" w:sz="0" w:space="0" w:color="auto"/>
          </w:divBdr>
        </w:div>
        <w:div w:id="1493449986">
          <w:marLeft w:val="0"/>
          <w:marRight w:val="0"/>
          <w:marTop w:val="0"/>
          <w:marBottom w:val="0"/>
          <w:divBdr>
            <w:top w:val="none" w:sz="0" w:space="0" w:color="auto"/>
            <w:left w:val="none" w:sz="0" w:space="0" w:color="auto"/>
            <w:bottom w:val="none" w:sz="0" w:space="0" w:color="auto"/>
            <w:right w:val="none" w:sz="0" w:space="0" w:color="auto"/>
          </w:divBdr>
        </w:div>
        <w:div w:id="1500460086">
          <w:marLeft w:val="0"/>
          <w:marRight w:val="0"/>
          <w:marTop w:val="0"/>
          <w:marBottom w:val="0"/>
          <w:divBdr>
            <w:top w:val="none" w:sz="0" w:space="0" w:color="auto"/>
            <w:left w:val="none" w:sz="0" w:space="0" w:color="auto"/>
            <w:bottom w:val="none" w:sz="0" w:space="0" w:color="auto"/>
            <w:right w:val="none" w:sz="0" w:space="0" w:color="auto"/>
          </w:divBdr>
        </w:div>
        <w:div w:id="1509523252">
          <w:marLeft w:val="0"/>
          <w:marRight w:val="0"/>
          <w:marTop w:val="0"/>
          <w:marBottom w:val="0"/>
          <w:divBdr>
            <w:top w:val="none" w:sz="0" w:space="0" w:color="auto"/>
            <w:left w:val="none" w:sz="0" w:space="0" w:color="auto"/>
            <w:bottom w:val="none" w:sz="0" w:space="0" w:color="auto"/>
            <w:right w:val="none" w:sz="0" w:space="0" w:color="auto"/>
          </w:divBdr>
        </w:div>
        <w:div w:id="1541815854">
          <w:marLeft w:val="0"/>
          <w:marRight w:val="0"/>
          <w:marTop w:val="0"/>
          <w:marBottom w:val="0"/>
          <w:divBdr>
            <w:top w:val="none" w:sz="0" w:space="0" w:color="auto"/>
            <w:left w:val="none" w:sz="0" w:space="0" w:color="auto"/>
            <w:bottom w:val="none" w:sz="0" w:space="0" w:color="auto"/>
            <w:right w:val="none" w:sz="0" w:space="0" w:color="auto"/>
          </w:divBdr>
        </w:div>
        <w:div w:id="1562516406">
          <w:marLeft w:val="0"/>
          <w:marRight w:val="0"/>
          <w:marTop w:val="0"/>
          <w:marBottom w:val="0"/>
          <w:divBdr>
            <w:top w:val="none" w:sz="0" w:space="0" w:color="auto"/>
            <w:left w:val="none" w:sz="0" w:space="0" w:color="auto"/>
            <w:bottom w:val="none" w:sz="0" w:space="0" w:color="auto"/>
            <w:right w:val="none" w:sz="0" w:space="0" w:color="auto"/>
          </w:divBdr>
        </w:div>
        <w:div w:id="1669357966">
          <w:marLeft w:val="0"/>
          <w:marRight w:val="0"/>
          <w:marTop w:val="0"/>
          <w:marBottom w:val="0"/>
          <w:divBdr>
            <w:top w:val="none" w:sz="0" w:space="0" w:color="auto"/>
            <w:left w:val="none" w:sz="0" w:space="0" w:color="auto"/>
            <w:bottom w:val="none" w:sz="0" w:space="0" w:color="auto"/>
            <w:right w:val="none" w:sz="0" w:space="0" w:color="auto"/>
          </w:divBdr>
        </w:div>
        <w:div w:id="1672874049">
          <w:marLeft w:val="0"/>
          <w:marRight w:val="0"/>
          <w:marTop w:val="0"/>
          <w:marBottom w:val="0"/>
          <w:divBdr>
            <w:top w:val="none" w:sz="0" w:space="0" w:color="auto"/>
            <w:left w:val="none" w:sz="0" w:space="0" w:color="auto"/>
            <w:bottom w:val="none" w:sz="0" w:space="0" w:color="auto"/>
            <w:right w:val="none" w:sz="0" w:space="0" w:color="auto"/>
          </w:divBdr>
        </w:div>
        <w:div w:id="1728190234">
          <w:marLeft w:val="0"/>
          <w:marRight w:val="0"/>
          <w:marTop w:val="0"/>
          <w:marBottom w:val="0"/>
          <w:divBdr>
            <w:top w:val="none" w:sz="0" w:space="0" w:color="auto"/>
            <w:left w:val="none" w:sz="0" w:space="0" w:color="auto"/>
            <w:bottom w:val="none" w:sz="0" w:space="0" w:color="auto"/>
            <w:right w:val="none" w:sz="0" w:space="0" w:color="auto"/>
          </w:divBdr>
        </w:div>
        <w:div w:id="1778866788">
          <w:marLeft w:val="0"/>
          <w:marRight w:val="0"/>
          <w:marTop w:val="0"/>
          <w:marBottom w:val="0"/>
          <w:divBdr>
            <w:top w:val="none" w:sz="0" w:space="0" w:color="auto"/>
            <w:left w:val="none" w:sz="0" w:space="0" w:color="auto"/>
            <w:bottom w:val="none" w:sz="0" w:space="0" w:color="auto"/>
            <w:right w:val="none" w:sz="0" w:space="0" w:color="auto"/>
          </w:divBdr>
        </w:div>
        <w:div w:id="1784223768">
          <w:marLeft w:val="0"/>
          <w:marRight w:val="0"/>
          <w:marTop w:val="0"/>
          <w:marBottom w:val="0"/>
          <w:divBdr>
            <w:top w:val="none" w:sz="0" w:space="0" w:color="auto"/>
            <w:left w:val="none" w:sz="0" w:space="0" w:color="auto"/>
            <w:bottom w:val="none" w:sz="0" w:space="0" w:color="auto"/>
            <w:right w:val="none" w:sz="0" w:space="0" w:color="auto"/>
          </w:divBdr>
        </w:div>
        <w:div w:id="1829247295">
          <w:marLeft w:val="0"/>
          <w:marRight w:val="0"/>
          <w:marTop w:val="0"/>
          <w:marBottom w:val="0"/>
          <w:divBdr>
            <w:top w:val="none" w:sz="0" w:space="0" w:color="auto"/>
            <w:left w:val="none" w:sz="0" w:space="0" w:color="auto"/>
            <w:bottom w:val="none" w:sz="0" w:space="0" w:color="auto"/>
            <w:right w:val="none" w:sz="0" w:space="0" w:color="auto"/>
          </w:divBdr>
        </w:div>
        <w:div w:id="1866669605">
          <w:marLeft w:val="0"/>
          <w:marRight w:val="0"/>
          <w:marTop w:val="0"/>
          <w:marBottom w:val="0"/>
          <w:divBdr>
            <w:top w:val="none" w:sz="0" w:space="0" w:color="auto"/>
            <w:left w:val="none" w:sz="0" w:space="0" w:color="auto"/>
            <w:bottom w:val="none" w:sz="0" w:space="0" w:color="auto"/>
            <w:right w:val="none" w:sz="0" w:space="0" w:color="auto"/>
          </w:divBdr>
        </w:div>
        <w:div w:id="1884900113">
          <w:marLeft w:val="0"/>
          <w:marRight w:val="0"/>
          <w:marTop w:val="0"/>
          <w:marBottom w:val="0"/>
          <w:divBdr>
            <w:top w:val="none" w:sz="0" w:space="0" w:color="auto"/>
            <w:left w:val="none" w:sz="0" w:space="0" w:color="auto"/>
            <w:bottom w:val="none" w:sz="0" w:space="0" w:color="auto"/>
            <w:right w:val="none" w:sz="0" w:space="0" w:color="auto"/>
          </w:divBdr>
        </w:div>
        <w:div w:id="1963687307">
          <w:marLeft w:val="0"/>
          <w:marRight w:val="0"/>
          <w:marTop w:val="0"/>
          <w:marBottom w:val="0"/>
          <w:divBdr>
            <w:top w:val="none" w:sz="0" w:space="0" w:color="auto"/>
            <w:left w:val="none" w:sz="0" w:space="0" w:color="auto"/>
            <w:bottom w:val="none" w:sz="0" w:space="0" w:color="auto"/>
            <w:right w:val="none" w:sz="0" w:space="0" w:color="auto"/>
          </w:divBdr>
        </w:div>
        <w:div w:id="1987278825">
          <w:marLeft w:val="0"/>
          <w:marRight w:val="0"/>
          <w:marTop w:val="0"/>
          <w:marBottom w:val="0"/>
          <w:divBdr>
            <w:top w:val="none" w:sz="0" w:space="0" w:color="auto"/>
            <w:left w:val="none" w:sz="0" w:space="0" w:color="auto"/>
            <w:bottom w:val="none" w:sz="0" w:space="0" w:color="auto"/>
            <w:right w:val="none" w:sz="0" w:space="0" w:color="auto"/>
          </w:divBdr>
        </w:div>
        <w:div w:id="1999459438">
          <w:marLeft w:val="0"/>
          <w:marRight w:val="0"/>
          <w:marTop w:val="0"/>
          <w:marBottom w:val="0"/>
          <w:divBdr>
            <w:top w:val="none" w:sz="0" w:space="0" w:color="auto"/>
            <w:left w:val="none" w:sz="0" w:space="0" w:color="auto"/>
            <w:bottom w:val="none" w:sz="0" w:space="0" w:color="auto"/>
            <w:right w:val="none" w:sz="0" w:space="0" w:color="auto"/>
          </w:divBdr>
        </w:div>
        <w:div w:id="2044548929">
          <w:marLeft w:val="0"/>
          <w:marRight w:val="0"/>
          <w:marTop w:val="0"/>
          <w:marBottom w:val="0"/>
          <w:divBdr>
            <w:top w:val="none" w:sz="0" w:space="0" w:color="auto"/>
            <w:left w:val="none" w:sz="0" w:space="0" w:color="auto"/>
            <w:bottom w:val="none" w:sz="0" w:space="0" w:color="auto"/>
            <w:right w:val="none" w:sz="0" w:space="0" w:color="auto"/>
          </w:divBdr>
        </w:div>
        <w:div w:id="2144928924">
          <w:marLeft w:val="0"/>
          <w:marRight w:val="0"/>
          <w:marTop w:val="0"/>
          <w:marBottom w:val="0"/>
          <w:divBdr>
            <w:top w:val="none" w:sz="0" w:space="0" w:color="auto"/>
            <w:left w:val="none" w:sz="0" w:space="0" w:color="auto"/>
            <w:bottom w:val="none" w:sz="0" w:space="0" w:color="auto"/>
            <w:right w:val="none" w:sz="0" w:space="0" w:color="auto"/>
          </w:divBdr>
        </w:div>
      </w:divsChild>
    </w:div>
    <w:div w:id="1319992637">
      <w:bodyDiv w:val="1"/>
      <w:marLeft w:val="0"/>
      <w:marRight w:val="0"/>
      <w:marTop w:val="0"/>
      <w:marBottom w:val="0"/>
      <w:divBdr>
        <w:top w:val="none" w:sz="0" w:space="0" w:color="auto"/>
        <w:left w:val="none" w:sz="0" w:space="0" w:color="auto"/>
        <w:bottom w:val="none" w:sz="0" w:space="0" w:color="auto"/>
        <w:right w:val="none" w:sz="0" w:space="0" w:color="auto"/>
      </w:divBdr>
    </w:div>
    <w:div w:id="1400784593">
      <w:bodyDiv w:val="1"/>
      <w:marLeft w:val="0"/>
      <w:marRight w:val="0"/>
      <w:marTop w:val="0"/>
      <w:marBottom w:val="0"/>
      <w:divBdr>
        <w:top w:val="none" w:sz="0" w:space="0" w:color="auto"/>
        <w:left w:val="none" w:sz="0" w:space="0" w:color="auto"/>
        <w:bottom w:val="none" w:sz="0" w:space="0" w:color="auto"/>
        <w:right w:val="none" w:sz="0" w:space="0" w:color="auto"/>
      </w:divBdr>
    </w:div>
    <w:div w:id="1449084106">
      <w:bodyDiv w:val="1"/>
      <w:marLeft w:val="0"/>
      <w:marRight w:val="0"/>
      <w:marTop w:val="0"/>
      <w:marBottom w:val="0"/>
      <w:divBdr>
        <w:top w:val="none" w:sz="0" w:space="0" w:color="auto"/>
        <w:left w:val="none" w:sz="0" w:space="0" w:color="auto"/>
        <w:bottom w:val="none" w:sz="0" w:space="0" w:color="auto"/>
        <w:right w:val="none" w:sz="0" w:space="0" w:color="auto"/>
      </w:divBdr>
    </w:div>
    <w:div w:id="1480994828">
      <w:bodyDiv w:val="1"/>
      <w:marLeft w:val="0"/>
      <w:marRight w:val="0"/>
      <w:marTop w:val="0"/>
      <w:marBottom w:val="0"/>
      <w:divBdr>
        <w:top w:val="none" w:sz="0" w:space="0" w:color="auto"/>
        <w:left w:val="none" w:sz="0" w:space="0" w:color="auto"/>
        <w:bottom w:val="none" w:sz="0" w:space="0" w:color="auto"/>
        <w:right w:val="none" w:sz="0" w:space="0" w:color="auto"/>
      </w:divBdr>
    </w:div>
    <w:div w:id="1622572073">
      <w:bodyDiv w:val="1"/>
      <w:marLeft w:val="0"/>
      <w:marRight w:val="0"/>
      <w:marTop w:val="0"/>
      <w:marBottom w:val="0"/>
      <w:divBdr>
        <w:top w:val="none" w:sz="0" w:space="0" w:color="auto"/>
        <w:left w:val="none" w:sz="0" w:space="0" w:color="auto"/>
        <w:bottom w:val="none" w:sz="0" w:space="0" w:color="auto"/>
        <w:right w:val="none" w:sz="0" w:space="0" w:color="auto"/>
      </w:divBdr>
    </w:div>
    <w:div w:id="1653287508">
      <w:bodyDiv w:val="1"/>
      <w:marLeft w:val="0"/>
      <w:marRight w:val="0"/>
      <w:marTop w:val="0"/>
      <w:marBottom w:val="0"/>
      <w:divBdr>
        <w:top w:val="none" w:sz="0" w:space="0" w:color="auto"/>
        <w:left w:val="none" w:sz="0" w:space="0" w:color="auto"/>
        <w:bottom w:val="none" w:sz="0" w:space="0" w:color="auto"/>
        <w:right w:val="none" w:sz="0" w:space="0" w:color="auto"/>
      </w:divBdr>
    </w:div>
    <w:div w:id="1655647661">
      <w:bodyDiv w:val="1"/>
      <w:marLeft w:val="0"/>
      <w:marRight w:val="0"/>
      <w:marTop w:val="0"/>
      <w:marBottom w:val="0"/>
      <w:divBdr>
        <w:top w:val="none" w:sz="0" w:space="0" w:color="auto"/>
        <w:left w:val="none" w:sz="0" w:space="0" w:color="auto"/>
        <w:bottom w:val="none" w:sz="0" w:space="0" w:color="auto"/>
        <w:right w:val="none" w:sz="0" w:space="0" w:color="auto"/>
      </w:divBdr>
      <w:divsChild>
        <w:div w:id="89933613">
          <w:marLeft w:val="0"/>
          <w:marRight w:val="0"/>
          <w:marTop w:val="0"/>
          <w:marBottom w:val="0"/>
          <w:divBdr>
            <w:top w:val="none" w:sz="0" w:space="0" w:color="auto"/>
            <w:left w:val="none" w:sz="0" w:space="0" w:color="auto"/>
            <w:bottom w:val="none" w:sz="0" w:space="0" w:color="auto"/>
            <w:right w:val="none" w:sz="0" w:space="0" w:color="auto"/>
          </w:divBdr>
        </w:div>
        <w:div w:id="338392911">
          <w:marLeft w:val="0"/>
          <w:marRight w:val="0"/>
          <w:marTop w:val="0"/>
          <w:marBottom w:val="0"/>
          <w:divBdr>
            <w:top w:val="none" w:sz="0" w:space="0" w:color="auto"/>
            <w:left w:val="none" w:sz="0" w:space="0" w:color="auto"/>
            <w:bottom w:val="none" w:sz="0" w:space="0" w:color="auto"/>
            <w:right w:val="none" w:sz="0" w:space="0" w:color="auto"/>
          </w:divBdr>
        </w:div>
        <w:div w:id="594364077">
          <w:marLeft w:val="0"/>
          <w:marRight w:val="0"/>
          <w:marTop w:val="0"/>
          <w:marBottom w:val="0"/>
          <w:divBdr>
            <w:top w:val="none" w:sz="0" w:space="0" w:color="auto"/>
            <w:left w:val="none" w:sz="0" w:space="0" w:color="auto"/>
            <w:bottom w:val="none" w:sz="0" w:space="0" w:color="auto"/>
            <w:right w:val="none" w:sz="0" w:space="0" w:color="auto"/>
          </w:divBdr>
        </w:div>
        <w:div w:id="807087969">
          <w:marLeft w:val="0"/>
          <w:marRight w:val="0"/>
          <w:marTop w:val="0"/>
          <w:marBottom w:val="0"/>
          <w:divBdr>
            <w:top w:val="none" w:sz="0" w:space="0" w:color="auto"/>
            <w:left w:val="none" w:sz="0" w:space="0" w:color="auto"/>
            <w:bottom w:val="none" w:sz="0" w:space="0" w:color="auto"/>
            <w:right w:val="none" w:sz="0" w:space="0" w:color="auto"/>
          </w:divBdr>
        </w:div>
        <w:div w:id="998577479">
          <w:marLeft w:val="0"/>
          <w:marRight w:val="0"/>
          <w:marTop w:val="0"/>
          <w:marBottom w:val="0"/>
          <w:divBdr>
            <w:top w:val="none" w:sz="0" w:space="0" w:color="auto"/>
            <w:left w:val="none" w:sz="0" w:space="0" w:color="auto"/>
            <w:bottom w:val="none" w:sz="0" w:space="0" w:color="auto"/>
            <w:right w:val="none" w:sz="0" w:space="0" w:color="auto"/>
          </w:divBdr>
        </w:div>
      </w:divsChild>
    </w:div>
    <w:div w:id="1743672780">
      <w:bodyDiv w:val="1"/>
      <w:marLeft w:val="0"/>
      <w:marRight w:val="0"/>
      <w:marTop w:val="0"/>
      <w:marBottom w:val="0"/>
      <w:divBdr>
        <w:top w:val="none" w:sz="0" w:space="0" w:color="auto"/>
        <w:left w:val="none" w:sz="0" w:space="0" w:color="auto"/>
        <w:bottom w:val="none" w:sz="0" w:space="0" w:color="auto"/>
        <w:right w:val="none" w:sz="0" w:space="0" w:color="auto"/>
      </w:divBdr>
    </w:div>
    <w:div w:id="1793011393">
      <w:bodyDiv w:val="1"/>
      <w:marLeft w:val="0"/>
      <w:marRight w:val="0"/>
      <w:marTop w:val="0"/>
      <w:marBottom w:val="0"/>
      <w:divBdr>
        <w:top w:val="none" w:sz="0" w:space="0" w:color="auto"/>
        <w:left w:val="none" w:sz="0" w:space="0" w:color="auto"/>
        <w:bottom w:val="none" w:sz="0" w:space="0" w:color="auto"/>
        <w:right w:val="none" w:sz="0" w:space="0" w:color="auto"/>
      </w:divBdr>
    </w:div>
    <w:div w:id="1811241484">
      <w:bodyDiv w:val="1"/>
      <w:marLeft w:val="0"/>
      <w:marRight w:val="0"/>
      <w:marTop w:val="0"/>
      <w:marBottom w:val="0"/>
      <w:divBdr>
        <w:top w:val="none" w:sz="0" w:space="0" w:color="auto"/>
        <w:left w:val="none" w:sz="0" w:space="0" w:color="auto"/>
        <w:bottom w:val="none" w:sz="0" w:space="0" w:color="auto"/>
        <w:right w:val="none" w:sz="0" w:space="0" w:color="auto"/>
      </w:divBdr>
    </w:div>
    <w:div w:id="1845590269">
      <w:bodyDiv w:val="1"/>
      <w:marLeft w:val="0"/>
      <w:marRight w:val="0"/>
      <w:marTop w:val="0"/>
      <w:marBottom w:val="0"/>
      <w:divBdr>
        <w:top w:val="none" w:sz="0" w:space="0" w:color="auto"/>
        <w:left w:val="none" w:sz="0" w:space="0" w:color="auto"/>
        <w:bottom w:val="none" w:sz="0" w:space="0" w:color="auto"/>
        <w:right w:val="none" w:sz="0" w:space="0" w:color="auto"/>
      </w:divBdr>
    </w:div>
    <w:div w:id="1867324977">
      <w:bodyDiv w:val="1"/>
      <w:marLeft w:val="0"/>
      <w:marRight w:val="0"/>
      <w:marTop w:val="0"/>
      <w:marBottom w:val="0"/>
      <w:divBdr>
        <w:top w:val="none" w:sz="0" w:space="0" w:color="auto"/>
        <w:left w:val="none" w:sz="0" w:space="0" w:color="auto"/>
        <w:bottom w:val="none" w:sz="0" w:space="0" w:color="auto"/>
        <w:right w:val="none" w:sz="0" w:space="0" w:color="auto"/>
      </w:divBdr>
    </w:div>
    <w:div w:id="1927492617">
      <w:bodyDiv w:val="1"/>
      <w:marLeft w:val="0"/>
      <w:marRight w:val="0"/>
      <w:marTop w:val="0"/>
      <w:marBottom w:val="0"/>
      <w:divBdr>
        <w:top w:val="none" w:sz="0" w:space="0" w:color="auto"/>
        <w:left w:val="none" w:sz="0" w:space="0" w:color="auto"/>
        <w:bottom w:val="none" w:sz="0" w:space="0" w:color="auto"/>
        <w:right w:val="none" w:sz="0" w:space="0" w:color="auto"/>
      </w:divBdr>
    </w:div>
    <w:div w:id="1951085325">
      <w:bodyDiv w:val="1"/>
      <w:marLeft w:val="0"/>
      <w:marRight w:val="0"/>
      <w:marTop w:val="0"/>
      <w:marBottom w:val="0"/>
      <w:divBdr>
        <w:top w:val="none" w:sz="0" w:space="0" w:color="auto"/>
        <w:left w:val="none" w:sz="0" w:space="0" w:color="auto"/>
        <w:bottom w:val="none" w:sz="0" w:space="0" w:color="auto"/>
        <w:right w:val="none" w:sz="0" w:space="0" w:color="auto"/>
      </w:divBdr>
    </w:div>
    <w:div w:id="2040161684">
      <w:bodyDiv w:val="1"/>
      <w:marLeft w:val="0"/>
      <w:marRight w:val="0"/>
      <w:marTop w:val="0"/>
      <w:marBottom w:val="0"/>
      <w:divBdr>
        <w:top w:val="none" w:sz="0" w:space="0" w:color="auto"/>
        <w:left w:val="none" w:sz="0" w:space="0" w:color="auto"/>
        <w:bottom w:val="none" w:sz="0" w:space="0" w:color="auto"/>
        <w:right w:val="none" w:sz="0" w:space="0" w:color="auto"/>
      </w:divBdr>
    </w:div>
    <w:div w:id="211982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eme1">
  <a:themeElements>
    <a:clrScheme name="HSBC Colour pallete 2018">
      <a:dk1>
        <a:srgbClr val="000000"/>
      </a:dk1>
      <a:lt1>
        <a:srgbClr val="FFFFFF"/>
      </a:lt1>
      <a:dk2>
        <a:srgbClr val="4E48C7"/>
      </a:dk2>
      <a:lt2>
        <a:srgbClr val="0F79D6"/>
      </a:lt2>
      <a:accent1>
        <a:srgbClr val="DB0011"/>
      </a:accent1>
      <a:accent2>
        <a:srgbClr val="000000"/>
      </a:accent2>
      <a:accent3>
        <a:srgbClr val="767676"/>
      </a:accent3>
      <a:accent4>
        <a:srgbClr val="D7D8D6"/>
      </a:accent4>
      <a:accent5>
        <a:srgbClr val="B57E10"/>
      </a:accent5>
      <a:accent6>
        <a:srgbClr val="488F29"/>
      </a:accent6>
      <a:hlink>
        <a:srgbClr val="767676"/>
      </a:hlink>
      <a:folHlink>
        <a:srgbClr val="D7D8D6"/>
      </a:folHlink>
    </a:clrScheme>
    <a:fontScheme name="A4 Message Driven">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858838" rtl="0" eaLnBrk="0" fontAlgn="base" latinLnBrk="0" hangingPunct="0">
          <a:lnSpc>
            <a:spcPct val="100000"/>
          </a:lnSpc>
          <a:spcBef>
            <a:spcPct val="50000"/>
          </a:spcBef>
          <a:spcAft>
            <a:spcPct val="0"/>
          </a:spcAft>
          <a:buClrTx/>
          <a:buSzTx/>
          <a:buFontTx/>
          <a:buNone/>
          <a:tabLst/>
          <a:defRPr kumimoji="0" lang="en-GB" sz="600" b="1" i="1"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858838" rtl="0" eaLnBrk="0" fontAlgn="base" latinLnBrk="0" hangingPunct="0">
          <a:lnSpc>
            <a:spcPct val="100000"/>
          </a:lnSpc>
          <a:spcBef>
            <a:spcPct val="50000"/>
          </a:spcBef>
          <a:spcAft>
            <a:spcPct val="0"/>
          </a:spcAft>
          <a:buClrTx/>
          <a:buSzTx/>
          <a:buFontTx/>
          <a:buNone/>
          <a:tabLst/>
          <a:defRPr kumimoji="0" lang="en-GB" sz="600" b="1" i="1" u="none" strike="noStrike" cap="none" normalizeH="0" baseline="0" smtClean="0">
            <a:ln>
              <a:noFill/>
            </a:ln>
            <a:solidFill>
              <a:schemeClr val="tx1"/>
            </a:solidFill>
            <a:effectLst/>
            <a:latin typeface="Arial" charset="0"/>
          </a:defRPr>
        </a:defPPr>
      </a:lstStyle>
    </a:lnDef>
  </a:objectDefaults>
  <a:extraClrSchemeLst>
    <a:extraClrScheme>
      <a:clrScheme name="A4 Message Driven HSBC 1">
        <a:dk1>
          <a:srgbClr val="000000"/>
        </a:dk1>
        <a:lt1>
          <a:srgbClr val="FFFFFF"/>
        </a:lt1>
        <a:dk2>
          <a:srgbClr val="FF0000"/>
        </a:dk2>
        <a:lt2>
          <a:srgbClr val="EAEAEA"/>
        </a:lt2>
        <a:accent1>
          <a:srgbClr val="194173"/>
        </a:accent1>
        <a:accent2>
          <a:srgbClr val="B9D3ED"/>
        </a:accent2>
        <a:accent3>
          <a:srgbClr val="FFFFFF"/>
        </a:accent3>
        <a:accent4>
          <a:srgbClr val="000000"/>
        </a:accent4>
        <a:accent5>
          <a:srgbClr val="ABB0BC"/>
        </a:accent5>
        <a:accent6>
          <a:srgbClr val="A7BFD7"/>
        </a:accent6>
        <a:hlink>
          <a:srgbClr val="559FD3"/>
        </a:hlink>
        <a:folHlink>
          <a:srgbClr val="FDB812"/>
        </a:folHlink>
      </a:clrScheme>
      <a:clrMap bg1="lt1" tx1="dk1" bg2="lt2" tx2="dk2" accent1="accent1" accent2="accent2" accent3="accent3" accent4="accent4" accent5="accent5" accent6="accent6" hlink="hlink" folHlink="folHlink"/>
    </a:extraClrScheme>
  </a:extraClrSchemeLst>
  <a:custClrLst>
    <a:custClr name="Primary_01">
      <a:srgbClr val="DB0011"/>
    </a:custClr>
    <a:custClr name="Primary_02">
      <a:srgbClr val="000000"/>
    </a:custClr>
    <a:custClr name="Primary_03">
      <a:srgbClr val="FFFFFF"/>
    </a:custClr>
    <a:custClr name="Primary_04">
      <a:srgbClr val="767676"/>
    </a:custClr>
    <a:custClr name="Primary_05">
      <a:srgbClr val="D7D8D6"/>
    </a:custClr>
    <a:custClr name="Primary_06">
      <a:srgbClr val="7770FF"/>
    </a:custClr>
    <a:custClr name="Primary_07">
      <a:srgbClr val="4E48C7"/>
    </a:custClr>
    <a:custClr name="Primary_08">
      <a:srgbClr val="36A1FF"/>
    </a:custClr>
    <a:custClr name="Primary_09">
      <a:srgbClr val="0F79D6"/>
    </a:custClr>
    <a:custClr name="Primary_10">
      <a:srgbClr val="2EB8B1"/>
    </a:custClr>
    <a:custClr name="Primary_11">
      <a:srgbClr val="008580"/>
    </a:custClr>
    <a:custClr name="Primary_12">
      <a:srgbClr val="61C238"/>
    </a:custClr>
    <a:custClr name="Primary_13">
      <a:srgbClr val="488F29"/>
    </a:custClr>
    <a:custClr name="Primary_14">
      <a:srgbClr val="E8A215"/>
    </a:custClr>
    <a:custClr name="Primary_15">
      <a:srgbClr val="B57E10"/>
    </a:custClr>
    <a:custClr name="Blank_01">
      <a:srgbClr val="FFFFFF"/>
    </a:custClr>
    <a:custClr name="Blank_02">
      <a:srgbClr val="FFFFFF"/>
    </a:custClr>
    <a:custClr name="Blank_03">
      <a:srgbClr val="FFFFFF"/>
    </a:custClr>
    <a:custClr name="Blank_04">
      <a:srgbClr val="FFFFFF"/>
    </a:custClr>
    <a:custClr name="Blank_05">
      <a:srgbClr val="FFFFFF"/>
    </a:custClr>
    <a:custClr name="RAG_Red">
      <a:srgbClr val="A8000B"/>
    </a:custClr>
    <a:custClr name="RAG_Amber">
      <a:srgbClr val="E8A215"/>
    </a:custClr>
    <a:custClr name="RAG_Green">
      <a:srgbClr val="008580"/>
    </a:custClr>
  </a:custClrLst>
  <a:extLst>
    <a:ext uri="{05A4C25C-085E-4340-85A3-A5531E510DB2}">
      <thm15:themeFamily xmlns:thm15="http://schemas.microsoft.com/office/thememl/2012/main" name="Theme1" id="{B02F7B10-CF3D-4450-8D4F-2CA4FB10C1EF}" vid="{8039C7A6-8C65-4E12-9544-797E77AA54A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ientation xmlns="d03df170-9a79-4995-ad43-9eda5fb463d0">Portrait</Orientation>
    <Page_x0020_Size xmlns="d03df170-9a79-4995-ad43-9eda5fb463d0">A4</Page_x0020_Size>
    <Template_x0020_category xmlns="d03df170-9a79-4995-ad43-9eda5fb463d0">Brochure</Template_x0020_category>
    <Proposition xmlns="d03df170-9a79-4995-ad43-9eda5fb463d0">MasterBrand</Proposi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7E8CE71E0E1B4CA4A358579F42F0B5" ma:contentTypeVersion="4" ma:contentTypeDescription="Create a new document." ma:contentTypeScope="" ma:versionID="ec4e731dfe0cd52456c3256db2ea5fd0">
  <xsd:schema xmlns:xsd="http://www.w3.org/2001/XMLSchema" xmlns:xs="http://www.w3.org/2001/XMLSchema" xmlns:p="http://schemas.microsoft.com/office/2006/metadata/properties" xmlns:ns2="d03df170-9a79-4995-ad43-9eda5fb463d0" targetNamespace="http://schemas.microsoft.com/office/2006/metadata/properties" ma:root="true" ma:fieldsID="9390889793290e76d73cb2eb48d0a92d" ns2:_="">
    <xsd:import namespace="d03df170-9a79-4995-ad43-9eda5fb463d0"/>
    <xsd:element name="properties">
      <xsd:complexType>
        <xsd:sequence>
          <xsd:element name="documentManagement">
            <xsd:complexType>
              <xsd:all>
                <xsd:element ref="ns2:Template_x0020_category" minOccurs="0"/>
                <xsd:element ref="ns2:Proposition" minOccurs="0"/>
                <xsd:element ref="ns2:Page_x0020_Size" minOccurs="0"/>
                <xsd:element ref="ns2:Orient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df170-9a79-4995-ad43-9eda5fb463d0" elementFormDefault="qualified">
    <xsd:import namespace="http://schemas.microsoft.com/office/2006/documentManagement/types"/>
    <xsd:import namespace="http://schemas.microsoft.com/office/infopath/2007/PartnerControls"/>
    <xsd:element name="Template_x0020_category" ma:index="2" nillable="true" ma:displayName="Template category" ma:format="Dropdown" ma:internalName="Template_x0020_category">
      <xsd:simpleType>
        <xsd:restriction base="dms:Choice">
          <xsd:enumeration value="Generic"/>
          <xsd:enumeration value="Factsheet"/>
          <xsd:enumeration value="Name badge"/>
          <xsd:enumeration value="Tent card"/>
          <xsd:enumeration value="Stationery"/>
          <xsd:enumeration value="Brochure"/>
          <xsd:enumeration value="News release"/>
          <xsd:enumeration value="Newsletter"/>
          <xsd:enumeration value="Letterhead"/>
        </xsd:restriction>
      </xsd:simpleType>
    </xsd:element>
    <xsd:element name="Proposition" ma:index="3" nillable="true" ma:displayName="Proposition" ma:format="Dropdown" ma:internalName="Proposition">
      <xsd:simpleType>
        <xsd:restriction base="dms:Choice">
          <xsd:enumeration value="MasterBrand"/>
          <xsd:enumeration value="GBM"/>
          <xsd:enumeration value="AMG"/>
          <xsd:enumeration value="CMB"/>
          <xsd:enumeration value="Premier"/>
          <xsd:enumeration value="Private Banking"/>
          <xsd:enumeration value="HSBC UK"/>
          <xsd:enumeration value="HSBC Challenger"/>
          <xsd:enumeration value="Advance"/>
          <xsd:enumeration value="Fusion"/>
          <xsd:enumeration value="HSBC English and Simplified Chinese"/>
          <xsd:enumeration value="HSBC English and Traditional Chinese"/>
          <xsd:enumeration value="HSBC Now"/>
          <xsd:enumeration value="Simplified Chinese"/>
          <xsd:enumeration value="Traditional Chinese"/>
          <xsd:enumeration value="Insurance Brokers"/>
          <xsd:enumeration value="Jade"/>
          <xsd:enumeration value="UK Advance"/>
        </xsd:restriction>
      </xsd:simpleType>
    </xsd:element>
    <xsd:element name="Page_x0020_Size" ma:index="4" nillable="true" ma:displayName="Page Size" ma:format="Dropdown" ma:internalName="Page_x0020_Size">
      <xsd:simpleType>
        <xsd:restriction base="dms:Choice">
          <xsd:enumeration value="A4"/>
          <xsd:enumeration value="A3"/>
          <xsd:enumeration value="US/CA Letter"/>
          <xsd:enumeration value="On-screen"/>
        </xsd:restriction>
      </xsd:simpleType>
    </xsd:element>
    <xsd:element name="Orientation" ma:index="5" nillable="true" ma:displayName="Orientation" ma:format="Dropdown" ma:internalName="Orientation">
      <xsd:simpleType>
        <xsd:restriction base="dms:Choice">
          <xsd:enumeration value="Landscape"/>
          <xsd:enumeration value="Portra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4EC25-946C-4B51-B482-FD37A240FB06}">
  <ds:schemaRef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d03df170-9a79-4995-ad43-9eda5fb463d0"/>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A4FAC4A-1179-499B-9A74-A87305098F97}">
  <ds:schemaRefs>
    <ds:schemaRef ds:uri="http://schemas.microsoft.com/sharepoint/v3/contenttype/forms"/>
  </ds:schemaRefs>
</ds:datastoreItem>
</file>

<file path=customXml/itemProps3.xml><?xml version="1.0" encoding="utf-8"?>
<ds:datastoreItem xmlns:ds="http://schemas.openxmlformats.org/officeDocument/2006/customXml" ds:itemID="{AEBF2751-E093-483C-9024-504110A03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df170-9a79-4995-ad43-9eda5fb46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A68A2-FE6E-422C-8CB4-88E43C8E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25</Pages>
  <Words>2764</Words>
  <Characters>15522</Characters>
  <Application>Microsoft Office Word</Application>
  <DocSecurity>0</DocSecurity>
  <Lines>450</Lines>
  <Paragraphs>183</Paragraphs>
  <ScaleCrop>false</ScaleCrop>
  <HeadingPairs>
    <vt:vector size="2" baseType="variant">
      <vt:variant>
        <vt:lpstr>Title</vt:lpstr>
      </vt:variant>
      <vt:variant>
        <vt:i4>1</vt:i4>
      </vt:variant>
    </vt:vector>
  </HeadingPairs>
  <TitlesOfParts>
    <vt:vector size="1" baseType="lpstr">
      <vt:lpstr>A4_Masterbrand_Brochure</vt:lpstr>
    </vt:vector>
  </TitlesOfParts>
  <Company>HSBC Bank plc</Company>
  <LinksUpToDate>false</LinksUpToDate>
  <CharactersWithSpaces>18151</CharactersWithSpaces>
  <SharedDoc>false</SharedDoc>
  <HLinks>
    <vt:vector size="54" baseType="variant">
      <vt:variant>
        <vt:i4>1966132</vt:i4>
      </vt:variant>
      <vt:variant>
        <vt:i4>50</vt:i4>
      </vt:variant>
      <vt:variant>
        <vt:i4>0</vt:i4>
      </vt:variant>
      <vt:variant>
        <vt:i4>5</vt:i4>
      </vt:variant>
      <vt:variant>
        <vt:lpwstr/>
      </vt:variant>
      <vt:variant>
        <vt:lpwstr>_Toc316919085</vt:lpwstr>
      </vt:variant>
      <vt:variant>
        <vt:i4>1966132</vt:i4>
      </vt:variant>
      <vt:variant>
        <vt:i4>44</vt:i4>
      </vt:variant>
      <vt:variant>
        <vt:i4>0</vt:i4>
      </vt:variant>
      <vt:variant>
        <vt:i4>5</vt:i4>
      </vt:variant>
      <vt:variant>
        <vt:lpwstr/>
      </vt:variant>
      <vt:variant>
        <vt:lpwstr>_Toc316919084</vt:lpwstr>
      </vt:variant>
      <vt:variant>
        <vt:i4>1966132</vt:i4>
      </vt:variant>
      <vt:variant>
        <vt:i4>38</vt:i4>
      </vt:variant>
      <vt:variant>
        <vt:i4>0</vt:i4>
      </vt:variant>
      <vt:variant>
        <vt:i4>5</vt:i4>
      </vt:variant>
      <vt:variant>
        <vt:lpwstr/>
      </vt:variant>
      <vt:variant>
        <vt:lpwstr>_Toc316919083</vt:lpwstr>
      </vt:variant>
      <vt:variant>
        <vt:i4>1966132</vt:i4>
      </vt:variant>
      <vt:variant>
        <vt:i4>32</vt:i4>
      </vt:variant>
      <vt:variant>
        <vt:i4>0</vt:i4>
      </vt:variant>
      <vt:variant>
        <vt:i4>5</vt:i4>
      </vt:variant>
      <vt:variant>
        <vt:lpwstr/>
      </vt:variant>
      <vt:variant>
        <vt:lpwstr>_Toc316919082</vt:lpwstr>
      </vt:variant>
      <vt:variant>
        <vt:i4>1966132</vt:i4>
      </vt:variant>
      <vt:variant>
        <vt:i4>26</vt:i4>
      </vt:variant>
      <vt:variant>
        <vt:i4>0</vt:i4>
      </vt:variant>
      <vt:variant>
        <vt:i4>5</vt:i4>
      </vt:variant>
      <vt:variant>
        <vt:lpwstr/>
      </vt:variant>
      <vt:variant>
        <vt:lpwstr>_Toc316919081</vt:lpwstr>
      </vt:variant>
      <vt:variant>
        <vt:i4>1966132</vt:i4>
      </vt:variant>
      <vt:variant>
        <vt:i4>20</vt:i4>
      </vt:variant>
      <vt:variant>
        <vt:i4>0</vt:i4>
      </vt:variant>
      <vt:variant>
        <vt:i4>5</vt:i4>
      </vt:variant>
      <vt:variant>
        <vt:lpwstr/>
      </vt:variant>
      <vt:variant>
        <vt:lpwstr>_Toc316919080</vt:lpwstr>
      </vt:variant>
      <vt:variant>
        <vt:i4>1114164</vt:i4>
      </vt:variant>
      <vt:variant>
        <vt:i4>14</vt:i4>
      </vt:variant>
      <vt:variant>
        <vt:i4>0</vt:i4>
      </vt:variant>
      <vt:variant>
        <vt:i4>5</vt:i4>
      </vt:variant>
      <vt:variant>
        <vt:lpwstr/>
      </vt:variant>
      <vt:variant>
        <vt:lpwstr>_Toc316919079</vt:lpwstr>
      </vt:variant>
      <vt:variant>
        <vt:i4>1114164</vt:i4>
      </vt:variant>
      <vt:variant>
        <vt:i4>8</vt:i4>
      </vt:variant>
      <vt:variant>
        <vt:i4>0</vt:i4>
      </vt:variant>
      <vt:variant>
        <vt:i4>5</vt:i4>
      </vt:variant>
      <vt:variant>
        <vt:lpwstr/>
      </vt:variant>
      <vt:variant>
        <vt:lpwstr>_Toc316919078</vt:lpwstr>
      </vt:variant>
      <vt:variant>
        <vt:i4>1114164</vt:i4>
      </vt:variant>
      <vt:variant>
        <vt:i4>2</vt:i4>
      </vt:variant>
      <vt:variant>
        <vt:i4>0</vt:i4>
      </vt:variant>
      <vt:variant>
        <vt:i4>5</vt:i4>
      </vt:variant>
      <vt:variant>
        <vt:lpwstr/>
      </vt:variant>
      <vt:variant>
        <vt:lpwstr>_Toc316919077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A4_Masterbrand_Brochure</dc:title>
  <dc:creator>Global Publishing Services (GPS)</dc:creator>
  <cp:keywords>PUBLIC (amend as appropriate)</cp:keywords>
  <dc:description>PUBLIC - Changes from previous version,_x000d_
- Added section dividers</dc:description>
  <cp:lastModifiedBy>elsje.geldenhuys@za.hsbc.com</cp:lastModifiedBy>
  <cp:revision>19</cp:revision>
  <cp:lastPrinted>2019-10-25T11:07:00Z</cp:lastPrinted>
  <dcterms:created xsi:type="dcterms:W3CDTF">2019-10-07T16:15:00Z</dcterms:created>
  <dcterms:modified xsi:type="dcterms:W3CDTF">2019-11-01T07:51:00Z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PUBLIC</vt:lpwstr>
  </property>
  <property fmtid="{D5CDD505-2E9C-101B-9397-08002B2CF9AE}" pid="3" name="Source">
    <vt:lpwstr>Internal</vt:lpwstr>
  </property>
  <property fmtid="{D5CDD505-2E9C-101B-9397-08002B2CF9AE}" pid="4" name="Footers">
    <vt:lpwstr>Footers</vt:lpwstr>
  </property>
  <property fmtid="{D5CDD505-2E9C-101B-9397-08002B2CF9AE}" pid="5" name="DocClassification">
    <vt:lpwstr>CLAPUBLIC</vt:lpwstr>
  </property>
  <property fmtid="{D5CDD505-2E9C-101B-9397-08002B2CF9AE}" pid="6" name="Identity">
    <vt:lpwstr>HSBC Master Brand</vt:lpwstr>
  </property>
  <property fmtid="{D5CDD505-2E9C-101B-9397-08002B2CF9AE}" pid="7" name="ContentTypeId">
    <vt:lpwstr>0x010100587E8CE71E0E1B4CA4A358579F42F0B5</vt:lpwstr>
  </property>
</Properties>
</file>